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bCs/>
          <w:color w:val="000000" w:themeColor="text1"/>
          <w:lang w:val="zh-CN"/>
        </w:rPr>
        <w:id w:val="8190987"/>
        <w:docPartObj>
          <w:docPartGallery w:val="Table of Contents"/>
          <w:docPartUnique/>
        </w:docPartObj>
      </w:sdtPr>
      <w:sdtEndPr>
        <w:rPr>
          <w:b w:val="0"/>
          <w:bCs w:val="0"/>
          <w:lang w:val="en-US"/>
        </w:rPr>
      </w:sdtEndPr>
      <w:sdtContent>
        <w:p w:rsidR="00A03430" w:rsidRPr="0018122A" w:rsidRDefault="00A03430" w:rsidP="00BA43A9">
          <w:pPr>
            <w:rPr>
              <w:rFonts w:eastAsia="隶书"/>
              <w:b/>
              <w:color w:val="000000" w:themeColor="text1"/>
              <w:sz w:val="28"/>
              <w:szCs w:val="28"/>
            </w:rPr>
          </w:pPr>
          <w:r w:rsidRPr="0018122A">
            <w:rPr>
              <w:rFonts w:eastAsia="隶书"/>
              <w:b/>
              <w:color w:val="000000" w:themeColor="text1"/>
              <w:sz w:val="28"/>
              <w:szCs w:val="28"/>
            </w:rPr>
            <w:tab/>
            <w:t xml:space="preserve">                                   </w:t>
          </w:r>
          <w:r>
            <w:rPr>
              <w:rFonts w:eastAsia="隶书" w:hint="eastAsia"/>
              <w:b/>
              <w:color w:val="000000" w:themeColor="text1"/>
              <w:sz w:val="28"/>
              <w:szCs w:val="28"/>
            </w:rPr>
            <w:t xml:space="preserve">        </w:t>
          </w:r>
          <w:r w:rsidRPr="0018122A">
            <w:rPr>
              <w:rFonts w:eastAsia="隶书"/>
              <w:b/>
              <w:color w:val="000000" w:themeColor="text1"/>
              <w:sz w:val="28"/>
              <w:szCs w:val="28"/>
            </w:rPr>
            <w:t xml:space="preserve">     </w:t>
          </w:r>
        </w:p>
        <w:p w:rsidR="00A03430" w:rsidRPr="0018122A" w:rsidRDefault="00A03430" w:rsidP="00045EEB">
          <w:pPr>
            <w:jc w:val="center"/>
            <w:rPr>
              <w:rFonts w:ascii="宋体" w:hAnsi="宋体"/>
              <w:b/>
              <w:color w:val="000000" w:themeColor="text1"/>
              <w:sz w:val="52"/>
              <w:szCs w:val="52"/>
            </w:rPr>
          </w:pPr>
          <w:r w:rsidRPr="0018122A">
            <w:rPr>
              <w:rFonts w:ascii="宋体" w:hAnsi="宋体" w:hint="eastAsia"/>
              <w:b/>
              <w:color w:val="000000" w:themeColor="text1"/>
              <w:sz w:val="52"/>
              <w:szCs w:val="52"/>
            </w:rPr>
            <w:t xml:space="preserve">和龙法院 </w:t>
          </w:r>
        </w:p>
        <w:p w:rsidR="00A03430" w:rsidRPr="007D7A51" w:rsidRDefault="00A03430" w:rsidP="00045EEB">
          <w:pPr>
            <w:jc w:val="center"/>
            <w:rPr>
              <w:rFonts w:ascii="宋体" w:hAnsi="宋体"/>
              <w:b/>
              <w:color w:val="000000" w:themeColor="text1"/>
              <w:sz w:val="18"/>
              <w:szCs w:val="18"/>
            </w:rPr>
          </w:pPr>
        </w:p>
        <w:p w:rsidR="00A03430" w:rsidRPr="0018122A" w:rsidRDefault="00A03430" w:rsidP="00045EEB">
          <w:pPr>
            <w:jc w:val="center"/>
            <w:rPr>
              <w:rFonts w:ascii="宋体" w:hAnsi="宋体"/>
              <w:b/>
              <w:color w:val="000000" w:themeColor="text1"/>
              <w:sz w:val="72"/>
              <w:szCs w:val="72"/>
            </w:rPr>
          </w:pPr>
          <w:r w:rsidRPr="0018122A">
            <w:rPr>
              <w:rFonts w:ascii="宋体" w:hAnsi="宋体" w:hint="eastAsia"/>
              <w:b/>
              <w:color w:val="000000" w:themeColor="text1"/>
              <w:sz w:val="72"/>
              <w:szCs w:val="72"/>
            </w:rPr>
            <w:t>审判管理工作通报</w:t>
          </w:r>
        </w:p>
        <w:p w:rsidR="00A03430" w:rsidRPr="0018122A" w:rsidRDefault="00A03430" w:rsidP="00045EEB">
          <w:pPr>
            <w:rPr>
              <w:rFonts w:ascii="宋体" w:hAnsi="宋体"/>
              <w:b/>
              <w:color w:val="000000" w:themeColor="text1"/>
              <w:sz w:val="28"/>
              <w:szCs w:val="28"/>
            </w:rPr>
          </w:pPr>
        </w:p>
        <w:p w:rsidR="00A03430" w:rsidRPr="0018122A" w:rsidRDefault="00A03430" w:rsidP="00045EEB">
          <w:pPr>
            <w:ind w:leftChars="-67" w:left="-141" w:rightChars="-87" w:right="-183"/>
            <w:rPr>
              <w:rFonts w:ascii="宋体" w:hAnsi="宋体"/>
              <w:b/>
              <w:color w:val="000000" w:themeColor="text1"/>
              <w:sz w:val="28"/>
              <w:szCs w:val="28"/>
            </w:rPr>
          </w:pPr>
          <w:r w:rsidRPr="0018122A">
            <w:rPr>
              <w:rFonts w:ascii="宋体" w:hAnsi="宋体" w:hint="eastAsia"/>
              <w:b/>
              <w:color w:val="000000" w:themeColor="text1"/>
              <w:sz w:val="28"/>
              <w:szCs w:val="28"/>
              <w:u w:val="thick"/>
            </w:rPr>
            <w:t xml:space="preserve">和龙法院审判管理办公室 </w:t>
          </w:r>
          <w:r w:rsidRPr="0018122A">
            <w:rPr>
              <w:rFonts w:ascii="宋体" w:hAnsi="宋体"/>
              <w:b/>
              <w:color w:val="000000" w:themeColor="text1"/>
              <w:sz w:val="28"/>
              <w:szCs w:val="28"/>
              <w:u w:val="thick"/>
            </w:rPr>
            <w:t>20</w:t>
          </w:r>
          <w:r w:rsidRPr="0018122A">
            <w:rPr>
              <w:rFonts w:ascii="宋体" w:hAnsi="宋体" w:hint="eastAsia"/>
              <w:b/>
              <w:color w:val="000000" w:themeColor="text1"/>
              <w:sz w:val="28"/>
              <w:szCs w:val="28"/>
              <w:u w:val="thick"/>
            </w:rPr>
            <w:t>19年</w:t>
          </w:r>
          <w:r>
            <w:rPr>
              <w:rFonts w:ascii="宋体" w:hAnsi="宋体" w:hint="eastAsia"/>
              <w:b/>
              <w:color w:val="000000" w:themeColor="text1"/>
              <w:sz w:val="28"/>
              <w:szCs w:val="28"/>
              <w:u w:val="thick"/>
            </w:rPr>
            <w:t>10</w:t>
          </w:r>
          <w:r w:rsidRPr="0018122A">
            <w:rPr>
              <w:rFonts w:ascii="宋体" w:hAnsi="宋体" w:hint="eastAsia"/>
              <w:b/>
              <w:color w:val="000000" w:themeColor="text1"/>
              <w:sz w:val="28"/>
              <w:szCs w:val="28"/>
              <w:u w:val="thick"/>
            </w:rPr>
            <w:t>月</w:t>
          </w:r>
          <w:r>
            <w:rPr>
              <w:rFonts w:ascii="宋体" w:hAnsi="宋体" w:hint="eastAsia"/>
              <w:b/>
              <w:color w:val="000000" w:themeColor="text1"/>
              <w:sz w:val="28"/>
              <w:szCs w:val="28"/>
              <w:u w:val="thick"/>
            </w:rPr>
            <w:t>10</w:t>
          </w:r>
          <w:r w:rsidRPr="0018122A">
            <w:rPr>
              <w:rFonts w:ascii="宋体" w:hAnsi="宋体" w:hint="eastAsia"/>
              <w:b/>
              <w:color w:val="000000" w:themeColor="text1"/>
              <w:sz w:val="28"/>
              <w:szCs w:val="28"/>
              <w:u w:val="thick"/>
            </w:rPr>
            <w:t>日（2019年第</w:t>
          </w:r>
          <w:r>
            <w:rPr>
              <w:rFonts w:ascii="宋体" w:hAnsi="宋体" w:hint="eastAsia"/>
              <w:b/>
              <w:color w:val="000000" w:themeColor="text1"/>
              <w:sz w:val="28"/>
              <w:szCs w:val="28"/>
              <w:u w:val="thick"/>
            </w:rPr>
            <w:t>9</w:t>
          </w:r>
          <w:r w:rsidRPr="0018122A">
            <w:rPr>
              <w:rFonts w:ascii="宋体" w:hAnsi="宋体" w:hint="eastAsia"/>
              <w:b/>
              <w:color w:val="000000" w:themeColor="text1"/>
              <w:sz w:val="28"/>
              <w:szCs w:val="28"/>
              <w:u w:val="thick"/>
            </w:rPr>
            <w:t>期）</w:t>
          </w:r>
        </w:p>
        <w:p w:rsidR="00A03430" w:rsidRPr="0018122A" w:rsidRDefault="00A03430" w:rsidP="00045EEB">
          <w:pPr>
            <w:rPr>
              <w:rFonts w:ascii="宋体" w:hAnsi="宋体"/>
              <w:b/>
              <w:color w:val="000000" w:themeColor="text1"/>
              <w:sz w:val="30"/>
              <w:szCs w:val="30"/>
            </w:rPr>
          </w:pPr>
          <w:r w:rsidRPr="0018122A">
            <w:rPr>
              <w:rFonts w:ascii="宋体" w:hAnsi="宋体" w:hint="eastAsia"/>
              <w:b/>
              <w:color w:val="000000" w:themeColor="text1"/>
              <w:sz w:val="30"/>
              <w:szCs w:val="30"/>
            </w:rPr>
            <w:t xml:space="preserve">         </w:t>
          </w:r>
          <w:r w:rsidRPr="0018122A">
            <w:rPr>
              <w:rFonts w:ascii="宋体" w:hAnsi="宋体" w:hint="eastAsia"/>
              <w:b/>
              <w:color w:val="000000" w:themeColor="text1"/>
              <w:sz w:val="36"/>
              <w:szCs w:val="36"/>
            </w:rPr>
            <w:t>本期主要内容：</w:t>
          </w:r>
          <w:r w:rsidRPr="0018122A">
            <w:rPr>
              <w:rFonts w:ascii="宋体" w:hAnsi="宋体"/>
              <w:b/>
              <w:color w:val="000000" w:themeColor="text1"/>
              <w:sz w:val="36"/>
              <w:szCs w:val="36"/>
            </w:rPr>
            <w:t xml:space="preserve">                 </w:t>
          </w:r>
        </w:p>
        <w:p w:rsidR="00A03430" w:rsidRPr="0018122A" w:rsidRDefault="00A03430" w:rsidP="00045EEB">
          <w:pPr>
            <w:rPr>
              <w:rFonts w:ascii="宋体" w:hAnsi="宋体"/>
              <w:b/>
              <w:color w:val="000000" w:themeColor="text1"/>
              <w:sz w:val="30"/>
              <w:szCs w:val="30"/>
            </w:rPr>
          </w:pPr>
        </w:p>
        <w:p w:rsidR="00A03430" w:rsidRPr="0018122A" w:rsidRDefault="00A03430" w:rsidP="00045EEB">
          <w:pPr>
            <w:numPr>
              <w:ilvl w:val="8"/>
              <w:numId w:val="1"/>
            </w:numPr>
            <w:tabs>
              <w:tab w:val="clear" w:pos="3780"/>
              <w:tab w:val="left" w:pos="4410"/>
            </w:tabs>
            <w:ind w:firstLine="0"/>
            <w:rPr>
              <w:rFonts w:ascii="宋体" w:hAnsi="宋体"/>
              <w:b/>
              <w:color w:val="000000" w:themeColor="text1"/>
              <w:sz w:val="30"/>
              <w:szCs w:val="30"/>
            </w:rPr>
          </w:pPr>
          <w:r w:rsidRPr="0018122A">
            <w:rPr>
              <w:rFonts w:ascii="宋体" w:hAnsi="宋体" w:hint="eastAsia"/>
              <w:b/>
              <w:color w:val="000000" w:themeColor="text1"/>
              <w:sz w:val="30"/>
              <w:szCs w:val="30"/>
            </w:rPr>
            <w:t>审判管理综合情况</w:t>
          </w:r>
        </w:p>
        <w:p w:rsidR="00A03430" w:rsidRPr="0018122A" w:rsidRDefault="00A03430" w:rsidP="00045EEB">
          <w:pPr>
            <w:numPr>
              <w:ilvl w:val="8"/>
              <w:numId w:val="1"/>
            </w:numPr>
            <w:tabs>
              <w:tab w:val="clear" w:pos="3780"/>
              <w:tab w:val="left" w:pos="4410"/>
            </w:tabs>
            <w:ind w:firstLine="0"/>
            <w:rPr>
              <w:rFonts w:ascii="宋体" w:hAnsi="宋体"/>
              <w:b/>
              <w:color w:val="000000" w:themeColor="text1"/>
              <w:sz w:val="30"/>
              <w:szCs w:val="30"/>
            </w:rPr>
          </w:pPr>
          <w:r w:rsidRPr="0018122A">
            <w:rPr>
              <w:rFonts w:ascii="宋体" w:hAnsi="宋体" w:hint="eastAsia"/>
              <w:b/>
              <w:color w:val="000000" w:themeColor="text1"/>
              <w:sz w:val="30"/>
              <w:szCs w:val="30"/>
            </w:rPr>
            <w:t>审判效率评估</w:t>
          </w:r>
        </w:p>
        <w:p w:rsidR="00A03430" w:rsidRPr="0018122A" w:rsidRDefault="00A03430" w:rsidP="00045EEB">
          <w:pPr>
            <w:numPr>
              <w:ilvl w:val="8"/>
              <w:numId w:val="1"/>
            </w:numPr>
            <w:tabs>
              <w:tab w:val="clear" w:pos="3780"/>
              <w:tab w:val="left" w:pos="4410"/>
            </w:tabs>
            <w:ind w:firstLine="0"/>
            <w:rPr>
              <w:rFonts w:ascii="宋体" w:hAnsi="宋体"/>
              <w:b/>
              <w:color w:val="000000" w:themeColor="text1"/>
              <w:sz w:val="30"/>
              <w:szCs w:val="30"/>
            </w:rPr>
          </w:pPr>
          <w:r w:rsidRPr="0018122A">
            <w:rPr>
              <w:rFonts w:ascii="宋体" w:hAnsi="宋体" w:hint="eastAsia"/>
              <w:b/>
              <w:color w:val="000000" w:themeColor="text1"/>
              <w:sz w:val="30"/>
              <w:szCs w:val="30"/>
            </w:rPr>
            <w:t>审判公正评估</w:t>
          </w:r>
        </w:p>
        <w:p w:rsidR="00A03430" w:rsidRPr="0018122A" w:rsidRDefault="00A03430" w:rsidP="00045EEB">
          <w:pPr>
            <w:numPr>
              <w:ilvl w:val="8"/>
              <w:numId w:val="1"/>
            </w:numPr>
            <w:tabs>
              <w:tab w:val="clear" w:pos="3780"/>
              <w:tab w:val="left" w:pos="4410"/>
            </w:tabs>
            <w:ind w:firstLine="0"/>
            <w:rPr>
              <w:rFonts w:ascii="宋体" w:hAnsi="宋体"/>
              <w:b/>
              <w:color w:val="000000" w:themeColor="text1"/>
              <w:sz w:val="30"/>
              <w:szCs w:val="30"/>
            </w:rPr>
          </w:pPr>
          <w:r w:rsidRPr="0018122A">
            <w:rPr>
              <w:rFonts w:ascii="宋体" w:hAnsi="宋体" w:hint="eastAsia"/>
              <w:b/>
              <w:color w:val="000000" w:themeColor="text1"/>
              <w:sz w:val="30"/>
              <w:szCs w:val="30"/>
            </w:rPr>
            <w:t>审判效果评估</w:t>
          </w:r>
        </w:p>
        <w:p w:rsidR="00A03430" w:rsidRPr="0018122A" w:rsidRDefault="00A03430" w:rsidP="00045EEB">
          <w:pPr>
            <w:numPr>
              <w:ilvl w:val="8"/>
              <w:numId w:val="1"/>
            </w:numPr>
            <w:tabs>
              <w:tab w:val="clear" w:pos="3780"/>
              <w:tab w:val="left" w:pos="4410"/>
            </w:tabs>
            <w:ind w:firstLine="0"/>
            <w:rPr>
              <w:rFonts w:ascii="宋体" w:hAnsi="宋体"/>
              <w:b/>
              <w:color w:val="000000" w:themeColor="text1"/>
              <w:sz w:val="30"/>
              <w:szCs w:val="30"/>
            </w:rPr>
          </w:pPr>
          <w:r w:rsidRPr="0018122A">
            <w:rPr>
              <w:rFonts w:ascii="宋体" w:hAnsi="宋体" w:hint="eastAsia"/>
              <w:b/>
              <w:color w:val="000000" w:themeColor="text1"/>
              <w:sz w:val="30"/>
              <w:szCs w:val="30"/>
            </w:rPr>
            <w:t>审限管理</w:t>
          </w:r>
        </w:p>
        <w:p w:rsidR="00A03430" w:rsidRPr="0018122A" w:rsidRDefault="00A03430" w:rsidP="00045EEB">
          <w:pPr>
            <w:numPr>
              <w:ilvl w:val="8"/>
              <w:numId w:val="1"/>
            </w:numPr>
            <w:tabs>
              <w:tab w:val="clear" w:pos="3780"/>
              <w:tab w:val="left" w:pos="4410"/>
            </w:tabs>
            <w:ind w:firstLine="0"/>
            <w:rPr>
              <w:rFonts w:ascii="宋体" w:hAnsi="宋体"/>
              <w:b/>
              <w:color w:val="000000" w:themeColor="text1"/>
              <w:sz w:val="30"/>
              <w:szCs w:val="30"/>
            </w:rPr>
          </w:pPr>
          <w:r w:rsidRPr="0018122A">
            <w:rPr>
              <w:rFonts w:ascii="宋体" w:hAnsi="宋体" w:hint="eastAsia"/>
              <w:b/>
              <w:color w:val="000000" w:themeColor="text1"/>
              <w:sz w:val="30"/>
              <w:szCs w:val="30"/>
            </w:rPr>
            <w:t>其他</w:t>
          </w:r>
        </w:p>
        <w:p w:rsidR="00A03430" w:rsidRDefault="00A03430" w:rsidP="00045EEB">
          <w:pPr>
            <w:ind w:left="3360"/>
            <w:rPr>
              <w:rFonts w:ascii="宋体" w:hAnsi="宋体"/>
              <w:b/>
              <w:color w:val="000000" w:themeColor="text1"/>
              <w:sz w:val="30"/>
              <w:szCs w:val="30"/>
            </w:rPr>
          </w:pPr>
        </w:p>
        <w:p w:rsidR="00BA43A9" w:rsidRPr="0018122A" w:rsidRDefault="00BA43A9" w:rsidP="00045EEB">
          <w:pPr>
            <w:ind w:left="3360"/>
            <w:rPr>
              <w:rFonts w:ascii="宋体" w:hAnsi="宋体"/>
              <w:b/>
              <w:color w:val="000000" w:themeColor="text1"/>
              <w:sz w:val="30"/>
              <w:szCs w:val="30"/>
            </w:rPr>
          </w:pPr>
        </w:p>
        <w:p w:rsidR="00A03430" w:rsidRPr="0018122A" w:rsidRDefault="00A03430" w:rsidP="00045EEB">
          <w:pPr>
            <w:ind w:leftChars="-200" w:left="-1" w:hangingChars="139" w:hanging="419"/>
            <w:rPr>
              <w:rFonts w:ascii="宋体" w:hAnsi="宋体"/>
              <w:b/>
              <w:color w:val="000000" w:themeColor="text1"/>
              <w:sz w:val="30"/>
              <w:szCs w:val="30"/>
            </w:rPr>
          </w:pPr>
        </w:p>
        <w:p w:rsidR="00A03430" w:rsidRPr="0018122A" w:rsidRDefault="00A03430" w:rsidP="00045EEB">
          <w:pPr>
            <w:rPr>
              <w:rFonts w:ascii="宋体" w:hAnsi="宋体"/>
              <w:b/>
              <w:color w:val="000000" w:themeColor="text1"/>
              <w:sz w:val="30"/>
              <w:szCs w:val="30"/>
            </w:rPr>
          </w:pPr>
          <w:r w:rsidRPr="0018122A">
            <w:rPr>
              <w:rFonts w:ascii="宋体" w:hAnsi="宋体"/>
              <w:b/>
              <w:color w:val="000000" w:themeColor="text1"/>
              <w:sz w:val="30"/>
              <w:szCs w:val="30"/>
            </w:rPr>
            <w:t xml:space="preserve">  </w:t>
          </w:r>
          <w:r w:rsidRPr="0018122A">
            <w:rPr>
              <w:rFonts w:ascii="宋体" w:hAnsi="宋体" w:hint="eastAsia"/>
              <w:b/>
              <w:color w:val="000000" w:themeColor="text1"/>
              <w:sz w:val="30"/>
              <w:szCs w:val="30"/>
            </w:rPr>
            <w:t xml:space="preserve">   </w:t>
          </w:r>
          <w:proofErr w:type="gramStart"/>
          <w:r w:rsidRPr="0018122A">
            <w:rPr>
              <w:rFonts w:ascii="宋体" w:hAnsi="宋体" w:hint="eastAsia"/>
              <w:b/>
              <w:color w:val="000000" w:themeColor="text1"/>
              <w:sz w:val="30"/>
              <w:szCs w:val="30"/>
            </w:rPr>
            <w:t>本统计</w:t>
          </w:r>
          <w:proofErr w:type="gramEnd"/>
          <w:r w:rsidRPr="0018122A">
            <w:rPr>
              <w:rFonts w:ascii="宋体" w:hAnsi="宋体" w:hint="eastAsia"/>
              <w:b/>
              <w:color w:val="000000" w:themeColor="text1"/>
              <w:sz w:val="30"/>
              <w:szCs w:val="30"/>
            </w:rPr>
            <w:t>期间为：</w:t>
          </w:r>
          <w:r>
            <w:rPr>
              <w:rFonts w:ascii="宋体" w:hAnsi="宋体" w:hint="eastAsia"/>
              <w:b/>
              <w:color w:val="000000" w:themeColor="text1"/>
              <w:sz w:val="30"/>
              <w:szCs w:val="30"/>
            </w:rPr>
            <w:t>2019年1月</w:t>
          </w:r>
          <w:r w:rsidRPr="0018122A">
            <w:rPr>
              <w:rFonts w:ascii="宋体" w:hAnsi="宋体" w:hint="eastAsia"/>
              <w:b/>
              <w:color w:val="000000" w:themeColor="text1"/>
              <w:sz w:val="30"/>
              <w:szCs w:val="30"/>
            </w:rPr>
            <w:t>1日至</w:t>
          </w:r>
          <w:r>
            <w:rPr>
              <w:rFonts w:ascii="宋体" w:hAnsi="宋体" w:hint="eastAsia"/>
              <w:b/>
              <w:color w:val="000000" w:themeColor="text1"/>
              <w:sz w:val="30"/>
              <w:szCs w:val="30"/>
            </w:rPr>
            <w:t>2019年9月</w:t>
          </w:r>
          <w:r w:rsidRPr="0018122A">
            <w:rPr>
              <w:rFonts w:ascii="宋体" w:hAnsi="宋体" w:hint="eastAsia"/>
              <w:b/>
              <w:color w:val="000000" w:themeColor="text1"/>
              <w:sz w:val="30"/>
              <w:szCs w:val="30"/>
            </w:rPr>
            <w:t>3</w:t>
          </w:r>
          <w:r>
            <w:rPr>
              <w:rFonts w:ascii="宋体" w:hAnsi="宋体" w:hint="eastAsia"/>
              <w:b/>
              <w:color w:val="000000" w:themeColor="text1"/>
              <w:sz w:val="30"/>
              <w:szCs w:val="30"/>
            </w:rPr>
            <w:t>0</w:t>
          </w:r>
          <w:r w:rsidRPr="0018122A">
            <w:rPr>
              <w:rFonts w:ascii="宋体" w:hAnsi="宋体" w:hint="eastAsia"/>
              <w:b/>
              <w:color w:val="000000" w:themeColor="text1"/>
              <w:sz w:val="30"/>
              <w:szCs w:val="30"/>
            </w:rPr>
            <w:t>日</w:t>
          </w:r>
        </w:p>
        <w:p w:rsidR="00A03430" w:rsidRDefault="00A03430" w:rsidP="00045EEB">
          <w:pPr>
            <w:rPr>
              <w:rFonts w:ascii="宋体" w:hAnsi="宋体"/>
              <w:b/>
              <w:color w:val="000000" w:themeColor="text1"/>
              <w:sz w:val="30"/>
              <w:szCs w:val="30"/>
              <w:u w:val="thick"/>
            </w:rPr>
          </w:pPr>
        </w:p>
        <w:p w:rsidR="00BB0E5D" w:rsidRPr="0018122A" w:rsidRDefault="00BB0E5D" w:rsidP="00045EEB">
          <w:pPr>
            <w:rPr>
              <w:rFonts w:ascii="宋体" w:hAnsi="宋体"/>
              <w:b/>
              <w:color w:val="000000" w:themeColor="text1"/>
              <w:sz w:val="30"/>
              <w:szCs w:val="30"/>
              <w:u w:val="thick"/>
            </w:rPr>
          </w:pPr>
        </w:p>
        <w:p w:rsidR="00A03430" w:rsidRPr="0018122A" w:rsidRDefault="00A03430" w:rsidP="00045EEB">
          <w:pPr>
            <w:pStyle w:val="TOC1"/>
            <w:tabs>
              <w:tab w:val="left" w:pos="990"/>
              <w:tab w:val="center" w:pos="4535"/>
            </w:tabs>
            <w:jc w:val="center"/>
            <w:rPr>
              <w:color w:val="000000" w:themeColor="text1"/>
            </w:rPr>
          </w:pPr>
          <w:r w:rsidRPr="0018122A">
            <w:rPr>
              <w:color w:val="000000" w:themeColor="text1"/>
              <w:sz w:val="52"/>
              <w:szCs w:val="52"/>
              <w:lang w:val="zh-CN"/>
            </w:rPr>
            <w:lastRenderedPageBreak/>
            <w:t>目</w:t>
          </w:r>
          <w:r w:rsidRPr="0018122A">
            <w:rPr>
              <w:rFonts w:hint="eastAsia"/>
              <w:color w:val="000000" w:themeColor="text1"/>
              <w:sz w:val="52"/>
              <w:szCs w:val="52"/>
              <w:lang w:val="zh-CN"/>
            </w:rPr>
            <w:t xml:space="preserve">     </w:t>
          </w:r>
          <w:r w:rsidRPr="0018122A">
            <w:rPr>
              <w:color w:val="000000" w:themeColor="text1"/>
              <w:sz w:val="52"/>
              <w:szCs w:val="52"/>
              <w:lang w:val="zh-CN"/>
            </w:rPr>
            <w:t>录</w:t>
          </w:r>
        </w:p>
        <w:p w:rsidR="001656FE" w:rsidRDefault="000112BF">
          <w:pPr>
            <w:pStyle w:val="10"/>
            <w:tabs>
              <w:tab w:val="right" w:leader="dot" w:pos="9060"/>
            </w:tabs>
            <w:rPr>
              <w:rFonts w:asciiTheme="minorHAnsi" w:eastAsiaTheme="minorEastAsia" w:hAnsiTheme="minorHAnsi" w:cstheme="minorBidi"/>
              <w:noProof/>
              <w:szCs w:val="22"/>
            </w:rPr>
          </w:pPr>
          <w:r w:rsidRPr="0018122A">
            <w:rPr>
              <w:color w:val="000000" w:themeColor="text1"/>
            </w:rPr>
            <w:fldChar w:fldCharType="begin"/>
          </w:r>
          <w:r w:rsidR="00A03430" w:rsidRPr="0018122A">
            <w:rPr>
              <w:color w:val="000000" w:themeColor="text1"/>
            </w:rPr>
            <w:instrText xml:space="preserve"> TOC \o "1-3" \h \z \u </w:instrText>
          </w:r>
          <w:r w:rsidRPr="0018122A">
            <w:rPr>
              <w:color w:val="000000" w:themeColor="text1"/>
            </w:rPr>
            <w:fldChar w:fldCharType="separate"/>
          </w:r>
          <w:hyperlink w:anchor="_Toc25137257" w:history="1">
            <w:r w:rsidR="001656FE" w:rsidRPr="009034F0">
              <w:rPr>
                <w:rStyle w:val="a8"/>
                <w:rFonts w:hint="eastAsia"/>
                <w:noProof/>
              </w:rPr>
              <w:t>一、</w:t>
            </w:r>
            <w:r w:rsidR="001656FE" w:rsidRPr="009034F0">
              <w:rPr>
                <w:rStyle w:val="a8"/>
                <w:noProof/>
              </w:rPr>
              <w:t>2019</w:t>
            </w:r>
            <w:r w:rsidR="001656FE" w:rsidRPr="009034F0">
              <w:rPr>
                <w:rStyle w:val="a8"/>
                <w:rFonts w:hint="eastAsia"/>
                <w:noProof/>
              </w:rPr>
              <w:t>年</w:t>
            </w:r>
            <w:r w:rsidR="001656FE" w:rsidRPr="009034F0">
              <w:rPr>
                <w:rStyle w:val="a8"/>
                <w:noProof/>
              </w:rPr>
              <w:t>1-9</w:t>
            </w:r>
            <w:r w:rsidR="001656FE" w:rsidRPr="009034F0">
              <w:rPr>
                <w:rStyle w:val="a8"/>
                <w:rFonts w:hint="eastAsia"/>
                <w:noProof/>
              </w:rPr>
              <w:t>月和龙法院审判执行工作总体情况</w:t>
            </w:r>
            <w:r w:rsidR="001656FE">
              <w:rPr>
                <w:noProof/>
                <w:webHidden/>
              </w:rPr>
              <w:tab/>
            </w:r>
            <w:r w:rsidR="001656FE">
              <w:rPr>
                <w:noProof/>
                <w:webHidden/>
              </w:rPr>
              <w:fldChar w:fldCharType="begin"/>
            </w:r>
            <w:r w:rsidR="001656FE">
              <w:rPr>
                <w:noProof/>
                <w:webHidden/>
              </w:rPr>
              <w:instrText xml:space="preserve"> PAGEREF _Toc25137257 \h </w:instrText>
            </w:r>
            <w:r w:rsidR="001656FE">
              <w:rPr>
                <w:noProof/>
                <w:webHidden/>
              </w:rPr>
            </w:r>
            <w:r w:rsidR="001656FE">
              <w:rPr>
                <w:noProof/>
                <w:webHidden/>
              </w:rPr>
              <w:fldChar w:fldCharType="separate"/>
            </w:r>
            <w:r w:rsidR="001656FE">
              <w:rPr>
                <w:noProof/>
                <w:webHidden/>
              </w:rPr>
              <w:t>1</w:t>
            </w:r>
            <w:r w:rsidR="001656FE">
              <w:rPr>
                <w:noProof/>
                <w:webHidden/>
              </w:rPr>
              <w:fldChar w:fldCharType="end"/>
            </w:r>
          </w:hyperlink>
        </w:p>
        <w:p w:rsidR="001656FE" w:rsidRDefault="001656FE">
          <w:pPr>
            <w:pStyle w:val="10"/>
            <w:tabs>
              <w:tab w:val="right" w:leader="dot" w:pos="9060"/>
            </w:tabs>
            <w:rPr>
              <w:rFonts w:asciiTheme="minorHAnsi" w:eastAsiaTheme="minorEastAsia" w:hAnsiTheme="minorHAnsi" w:cstheme="minorBidi"/>
              <w:noProof/>
              <w:szCs w:val="22"/>
            </w:rPr>
          </w:pPr>
          <w:hyperlink w:anchor="_Toc25137258" w:history="1">
            <w:r w:rsidRPr="009034F0">
              <w:rPr>
                <w:rStyle w:val="a8"/>
                <w:rFonts w:hint="eastAsia"/>
                <w:noProof/>
              </w:rPr>
              <w:t>二、</w:t>
            </w:r>
            <w:r w:rsidRPr="009034F0">
              <w:rPr>
                <w:rStyle w:val="a8"/>
                <w:noProof/>
              </w:rPr>
              <w:t>2019</w:t>
            </w:r>
            <w:r w:rsidRPr="009034F0">
              <w:rPr>
                <w:rStyle w:val="a8"/>
                <w:rFonts w:hint="eastAsia"/>
                <w:noProof/>
              </w:rPr>
              <w:t>年</w:t>
            </w:r>
            <w:r w:rsidRPr="009034F0">
              <w:rPr>
                <w:rStyle w:val="a8"/>
                <w:noProof/>
              </w:rPr>
              <w:t>1-9</w:t>
            </w:r>
            <w:r w:rsidRPr="009034F0">
              <w:rPr>
                <w:rStyle w:val="a8"/>
                <w:rFonts w:hint="eastAsia"/>
                <w:noProof/>
              </w:rPr>
              <w:t>月和龙法院诉讼案件总体情况</w:t>
            </w:r>
            <w:r>
              <w:rPr>
                <w:noProof/>
                <w:webHidden/>
              </w:rPr>
              <w:tab/>
            </w:r>
            <w:r>
              <w:rPr>
                <w:noProof/>
                <w:webHidden/>
              </w:rPr>
              <w:fldChar w:fldCharType="begin"/>
            </w:r>
            <w:r>
              <w:rPr>
                <w:noProof/>
                <w:webHidden/>
              </w:rPr>
              <w:instrText xml:space="preserve"> PAGEREF _Toc25137258 \h </w:instrText>
            </w:r>
            <w:r>
              <w:rPr>
                <w:noProof/>
                <w:webHidden/>
              </w:rPr>
            </w:r>
            <w:r>
              <w:rPr>
                <w:noProof/>
                <w:webHidden/>
              </w:rPr>
              <w:fldChar w:fldCharType="separate"/>
            </w:r>
            <w:r>
              <w:rPr>
                <w:noProof/>
                <w:webHidden/>
              </w:rPr>
              <w:t>2</w:t>
            </w:r>
            <w:r>
              <w:rPr>
                <w:noProof/>
                <w:webHidden/>
              </w:rPr>
              <w:fldChar w:fldCharType="end"/>
            </w:r>
          </w:hyperlink>
        </w:p>
        <w:p w:rsidR="001656FE" w:rsidRDefault="001656FE">
          <w:pPr>
            <w:pStyle w:val="10"/>
            <w:tabs>
              <w:tab w:val="right" w:leader="dot" w:pos="9060"/>
            </w:tabs>
            <w:rPr>
              <w:rFonts w:asciiTheme="minorHAnsi" w:eastAsiaTheme="minorEastAsia" w:hAnsiTheme="minorHAnsi" w:cstheme="minorBidi"/>
              <w:noProof/>
              <w:szCs w:val="22"/>
            </w:rPr>
          </w:pPr>
          <w:hyperlink w:anchor="_Toc25137259" w:history="1">
            <w:r w:rsidRPr="009034F0">
              <w:rPr>
                <w:rStyle w:val="a8"/>
                <w:rFonts w:hint="eastAsia"/>
                <w:noProof/>
              </w:rPr>
              <w:t>三、</w:t>
            </w:r>
            <w:r w:rsidRPr="009034F0">
              <w:rPr>
                <w:rStyle w:val="a8"/>
                <w:noProof/>
              </w:rPr>
              <w:t>2019</w:t>
            </w:r>
            <w:r w:rsidRPr="009034F0">
              <w:rPr>
                <w:rStyle w:val="a8"/>
                <w:rFonts w:hint="eastAsia"/>
                <w:noProof/>
              </w:rPr>
              <w:t>年</w:t>
            </w:r>
            <w:r w:rsidRPr="009034F0">
              <w:rPr>
                <w:rStyle w:val="a8"/>
                <w:noProof/>
              </w:rPr>
              <w:t>1-9</w:t>
            </w:r>
            <w:r w:rsidRPr="009034F0">
              <w:rPr>
                <w:rStyle w:val="a8"/>
                <w:rFonts w:hint="eastAsia"/>
                <w:noProof/>
              </w:rPr>
              <w:t>月和龙法院诉讼案件新收情况</w:t>
            </w:r>
            <w:r>
              <w:rPr>
                <w:noProof/>
                <w:webHidden/>
              </w:rPr>
              <w:tab/>
            </w:r>
            <w:r>
              <w:rPr>
                <w:noProof/>
                <w:webHidden/>
              </w:rPr>
              <w:fldChar w:fldCharType="begin"/>
            </w:r>
            <w:r>
              <w:rPr>
                <w:noProof/>
                <w:webHidden/>
              </w:rPr>
              <w:instrText xml:space="preserve"> PAGEREF _Toc25137259 \h </w:instrText>
            </w:r>
            <w:r>
              <w:rPr>
                <w:noProof/>
                <w:webHidden/>
              </w:rPr>
            </w:r>
            <w:r>
              <w:rPr>
                <w:noProof/>
                <w:webHidden/>
              </w:rPr>
              <w:fldChar w:fldCharType="separate"/>
            </w:r>
            <w:r>
              <w:rPr>
                <w:noProof/>
                <w:webHidden/>
              </w:rPr>
              <w:t>4</w:t>
            </w:r>
            <w:r>
              <w:rPr>
                <w:noProof/>
                <w:webHidden/>
              </w:rPr>
              <w:fldChar w:fldCharType="end"/>
            </w:r>
          </w:hyperlink>
        </w:p>
        <w:p w:rsidR="001656FE" w:rsidRDefault="001656FE">
          <w:pPr>
            <w:pStyle w:val="20"/>
            <w:tabs>
              <w:tab w:val="right" w:leader="dot" w:pos="9060"/>
            </w:tabs>
            <w:rPr>
              <w:rFonts w:asciiTheme="minorHAnsi" w:eastAsiaTheme="minorEastAsia" w:hAnsiTheme="minorHAnsi" w:cstheme="minorBidi"/>
              <w:noProof/>
              <w:szCs w:val="22"/>
            </w:rPr>
          </w:pPr>
          <w:hyperlink w:anchor="_Toc25137260" w:history="1">
            <w:r w:rsidRPr="009034F0">
              <w:rPr>
                <w:rStyle w:val="a8"/>
                <w:rFonts w:hint="eastAsia"/>
                <w:noProof/>
              </w:rPr>
              <w:t>（一）</w:t>
            </w:r>
            <w:r w:rsidRPr="009034F0">
              <w:rPr>
                <w:rStyle w:val="a8"/>
                <w:noProof/>
              </w:rPr>
              <w:t>2019</w:t>
            </w:r>
            <w:r w:rsidRPr="009034F0">
              <w:rPr>
                <w:rStyle w:val="a8"/>
                <w:rFonts w:hint="eastAsia"/>
                <w:noProof/>
              </w:rPr>
              <w:t>年</w:t>
            </w:r>
            <w:r w:rsidRPr="009034F0">
              <w:rPr>
                <w:rStyle w:val="a8"/>
                <w:noProof/>
              </w:rPr>
              <w:t>1-9</w:t>
            </w:r>
            <w:r w:rsidRPr="009034F0">
              <w:rPr>
                <w:rStyle w:val="a8"/>
                <w:rFonts w:hint="eastAsia"/>
                <w:noProof/>
              </w:rPr>
              <w:t>月和龙法院诉讼案件新收类型分布情况</w:t>
            </w:r>
            <w:r>
              <w:rPr>
                <w:noProof/>
                <w:webHidden/>
              </w:rPr>
              <w:tab/>
            </w:r>
            <w:r>
              <w:rPr>
                <w:noProof/>
                <w:webHidden/>
              </w:rPr>
              <w:fldChar w:fldCharType="begin"/>
            </w:r>
            <w:r>
              <w:rPr>
                <w:noProof/>
                <w:webHidden/>
              </w:rPr>
              <w:instrText xml:space="preserve"> PAGEREF _Toc25137260 \h </w:instrText>
            </w:r>
            <w:r>
              <w:rPr>
                <w:noProof/>
                <w:webHidden/>
              </w:rPr>
            </w:r>
            <w:r>
              <w:rPr>
                <w:noProof/>
                <w:webHidden/>
              </w:rPr>
              <w:fldChar w:fldCharType="separate"/>
            </w:r>
            <w:r>
              <w:rPr>
                <w:noProof/>
                <w:webHidden/>
              </w:rPr>
              <w:t>4</w:t>
            </w:r>
            <w:r>
              <w:rPr>
                <w:noProof/>
                <w:webHidden/>
              </w:rPr>
              <w:fldChar w:fldCharType="end"/>
            </w:r>
          </w:hyperlink>
        </w:p>
        <w:p w:rsidR="001656FE" w:rsidRDefault="001656FE">
          <w:pPr>
            <w:pStyle w:val="20"/>
            <w:tabs>
              <w:tab w:val="right" w:leader="dot" w:pos="9060"/>
            </w:tabs>
            <w:rPr>
              <w:rFonts w:asciiTheme="minorHAnsi" w:eastAsiaTheme="minorEastAsia" w:hAnsiTheme="minorHAnsi" w:cstheme="minorBidi"/>
              <w:noProof/>
              <w:szCs w:val="22"/>
            </w:rPr>
          </w:pPr>
          <w:hyperlink w:anchor="_Toc25137261" w:history="1">
            <w:r w:rsidRPr="009034F0">
              <w:rPr>
                <w:rStyle w:val="a8"/>
                <w:rFonts w:hint="eastAsia"/>
                <w:noProof/>
              </w:rPr>
              <w:t>（二）</w:t>
            </w:r>
            <w:r w:rsidRPr="009034F0">
              <w:rPr>
                <w:rStyle w:val="a8"/>
                <w:noProof/>
              </w:rPr>
              <w:t>2019</w:t>
            </w:r>
            <w:r w:rsidRPr="009034F0">
              <w:rPr>
                <w:rStyle w:val="a8"/>
                <w:rFonts w:hint="eastAsia"/>
                <w:noProof/>
              </w:rPr>
              <w:t>年</w:t>
            </w:r>
            <w:r w:rsidRPr="009034F0">
              <w:rPr>
                <w:rStyle w:val="a8"/>
                <w:noProof/>
              </w:rPr>
              <w:t>1-9</w:t>
            </w:r>
            <w:r w:rsidRPr="009034F0">
              <w:rPr>
                <w:rStyle w:val="a8"/>
                <w:rFonts w:hint="eastAsia"/>
                <w:noProof/>
              </w:rPr>
              <w:t>月和龙法院新收诉讼案件案由、罪名情况</w:t>
            </w:r>
            <w:r>
              <w:rPr>
                <w:noProof/>
                <w:webHidden/>
              </w:rPr>
              <w:tab/>
            </w:r>
            <w:r>
              <w:rPr>
                <w:noProof/>
                <w:webHidden/>
              </w:rPr>
              <w:fldChar w:fldCharType="begin"/>
            </w:r>
            <w:r>
              <w:rPr>
                <w:noProof/>
                <w:webHidden/>
              </w:rPr>
              <w:instrText xml:space="preserve"> PAGEREF _Toc25137261 \h </w:instrText>
            </w:r>
            <w:r>
              <w:rPr>
                <w:noProof/>
                <w:webHidden/>
              </w:rPr>
            </w:r>
            <w:r>
              <w:rPr>
                <w:noProof/>
                <w:webHidden/>
              </w:rPr>
              <w:fldChar w:fldCharType="separate"/>
            </w:r>
            <w:r>
              <w:rPr>
                <w:noProof/>
                <w:webHidden/>
              </w:rPr>
              <w:t>4</w:t>
            </w:r>
            <w:r>
              <w:rPr>
                <w:noProof/>
                <w:webHidden/>
              </w:rPr>
              <w:fldChar w:fldCharType="end"/>
            </w:r>
          </w:hyperlink>
        </w:p>
        <w:p w:rsidR="001656FE" w:rsidRDefault="001656FE">
          <w:pPr>
            <w:pStyle w:val="10"/>
            <w:tabs>
              <w:tab w:val="right" w:leader="dot" w:pos="9060"/>
            </w:tabs>
            <w:rPr>
              <w:rFonts w:asciiTheme="minorHAnsi" w:eastAsiaTheme="minorEastAsia" w:hAnsiTheme="minorHAnsi" w:cstheme="minorBidi"/>
              <w:noProof/>
              <w:szCs w:val="22"/>
            </w:rPr>
          </w:pPr>
          <w:hyperlink w:anchor="_Toc25137262" w:history="1">
            <w:r w:rsidRPr="009034F0">
              <w:rPr>
                <w:rStyle w:val="a8"/>
                <w:rFonts w:hint="eastAsia"/>
                <w:noProof/>
              </w:rPr>
              <w:t>四、</w:t>
            </w:r>
            <w:r w:rsidRPr="009034F0">
              <w:rPr>
                <w:rStyle w:val="a8"/>
                <w:noProof/>
              </w:rPr>
              <w:t>2019</w:t>
            </w:r>
            <w:r w:rsidRPr="009034F0">
              <w:rPr>
                <w:rStyle w:val="a8"/>
                <w:rFonts w:hint="eastAsia"/>
                <w:noProof/>
              </w:rPr>
              <w:t>年</w:t>
            </w:r>
            <w:r w:rsidRPr="009034F0">
              <w:rPr>
                <w:rStyle w:val="a8"/>
                <w:noProof/>
              </w:rPr>
              <w:t>1-9</w:t>
            </w:r>
            <w:r w:rsidRPr="009034F0">
              <w:rPr>
                <w:rStyle w:val="a8"/>
                <w:rFonts w:hint="eastAsia"/>
                <w:noProof/>
              </w:rPr>
              <w:t>月和龙法院审结诉讼案件情况</w:t>
            </w:r>
            <w:r>
              <w:rPr>
                <w:noProof/>
                <w:webHidden/>
              </w:rPr>
              <w:tab/>
            </w:r>
            <w:r>
              <w:rPr>
                <w:noProof/>
                <w:webHidden/>
              </w:rPr>
              <w:fldChar w:fldCharType="begin"/>
            </w:r>
            <w:r>
              <w:rPr>
                <w:noProof/>
                <w:webHidden/>
              </w:rPr>
              <w:instrText xml:space="preserve"> PAGEREF _Toc25137262 \h </w:instrText>
            </w:r>
            <w:r>
              <w:rPr>
                <w:noProof/>
                <w:webHidden/>
              </w:rPr>
            </w:r>
            <w:r>
              <w:rPr>
                <w:noProof/>
                <w:webHidden/>
              </w:rPr>
              <w:fldChar w:fldCharType="separate"/>
            </w:r>
            <w:r>
              <w:rPr>
                <w:noProof/>
                <w:webHidden/>
              </w:rPr>
              <w:t>6</w:t>
            </w:r>
            <w:r>
              <w:rPr>
                <w:noProof/>
                <w:webHidden/>
              </w:rPr>
              <w:fldChar w:fldCharType="end"/>
            </w:r>
          </w:hyperlink>
        </w:p>
        <w:p w:rsidR="001656FE" w:rsidRDefault="001656FE">
          <w:pPr>
            <w:pStyle w:val="20"/>
            <w:tabs>
              <w:tab w:val="right" w:leader="dot" w:pos="9060"/>
            </w:tabs>
            <w:rPr>
              <w:rFonts w:asciiTheme="minorHAnsi" w:eastAsiaTheme="minorEastAsia" w:hAnsiTheme="minorHAnsi" w:cstheme="minorBidi"/>
              <w:noProof/>
              <w:szCs w:val="22"/>
            </w:rPr>
          </w:pPr>
          <w:hyperlink w:anchor="_Toc25137263" w:history="1">
            <w:r w:rsidRPr="009034F0">
              <w:rPr>
                <w:rStyle w:val="a8"/>
                <w:rFonts w:hint="eastAsia"/>
                <w:noProof/>
              </w:rPr>
              <w:t>（一）</w:t>
            </w:r>
            <w:r w:rsidRPr="009034F0">
              <w:rPr>
                <w:rStyle w:val="a8"/>
                <w:noProof/>
              </w:rPr>
              <w:t>2019</w:t>
            </w:r>
            <w:r w:rsidRPr="009034F0">
              <w:rPr>
                <w:rStyle w:val="a8"/>
                <w:rFonts w:hint="eastAsia"/>
                <w:noProof/>
              </w:rPr>
              <w:t>年</w:t>
            </w:r>
            <w:r w:rsidRPr="009034F0">
              <w:rPr>
                <w:rStyle w:val="a8"/>
                <w:noProof/>
              </w:rPr>
              <w:t>1-9</w:t>
            </w:r>
            <w:r w:rsidRPr="009034F0">
              <w:rPr>
                <w:rStyle w:val="a8"/>
                <w:rFonts w:hint="eastAsia"/>
                <w:noProof/>
              </w:rPr>
              <w:t>月和龙法院审结诉讼案件类型分布情况</w:t>
            </w:r>
            <w:r>
              <w:rPr>
                <w:noProof/>
                <w:webHidden/>
              </w:rPr>
              <w:tab/>
            </w:r>
            <w:r>
              <w:rPr>
                <w:noProof/>
                <w:webHidden/>
              </w:rPr>
              <w:fldChar w:fldCharType="begin"/>
            </w:r>
            <w:r>
              <w:rPr>
                <w:noProof/>
                <w:webHidden/>
              </w:rPr>
              <w:instrText xml:space="preserve"> PAGEREF _Toc25137263 \h </w:instrText>
            </w:r>
            <w:r>
              <w:rPr>
                <w:noProof/>
                <w:webHidden/>
              </w:rPr>
            </w:r>
            <w:r>
              <w:rPr>
                <w:noProof/>
                <w:webHidden/>
              </w:rPr>
              <w:fldChar w:fldCharType="separate"/>
            </w:r>
            <w:r>
              <w:rPr>
                <w:noProof/>
                <w:webHidden/>
              </w:rPr>
              <w:t>6</w:t>
            </w:r>
            <w:r>
              <w:rPr>
                <w:noProof/>
                <w:webHidden/>
              </w:rPr>
              <w:fldChar w:fldCharType="end"/>
            </w:r>
          </w:hyperlink>
        </w:p>
        <w:p w:rsidR="001656FE" w:rsidRDefault="001656FE">
          <w:pPr>
            <w:pStyle w:val="20"/>
            <w:tabs>
              <w:tab w:val="right" w:leader="dot" w:pos="9060"/>
            </w:tabs>
            <w:rPr>
              <w:rFonts w:asciiTheme="minorHAnsi" w:eastAsiaTheme="minorEastAsia" w:hAnsiTheme="minorHAnsi" w:cstheme="minorBidi"/>
              <w:noProof/>
              <w:szCs w:val="22"/>
            </w:rPr>
          </w:pPr>
          <w:hyperlink w:anchor="_Toc25137264" w:history="1">
            <w:r w:rsidRPr="009034F0">
              <w:rPr>
                <w:rStyle w:val="a8"/>
                <w:rFonts w:hint="eastAsia"/>
                <w:noProof/>
              </w:rPr>
              <w:t>（二）</w:t>
            </w:r>
            <w:r w:rsidRPr="009034F0">
              <w:rPr>
                <w:rStyle w:val="a8"/>
                <w:noProof/>
              </w:rPr>
              <w:t>2019</w:t>
            </w:r>
            <w:r w:rsidRPr="009034F0">
              <w:rPr>
                <w:rStyle w:val="a8"/>
                <w:rFonts w:hint="eastAsia"/>
                <w:noProof/>
              </w:rPr>
              <w:t>年</w:t>
            </w:r>
            <w:r w:rsidRPr="009034F0">
              <w:rPr>
                <w:rStyle w:val="a8"/>
                <w:noProof/>
              </w:rPr>
              <w:t>1-9</w:t>
            </w:r>
            <w:r w:rsidRPr="009034F0">
              <w:rPr>
                <w:rStyle w:val="a8"/>
                <w:rFonts w:hint="eastAsia"/>
                <w:noProof/>
              </w:rPr>
              <w:t>月和龙法院审结案件的案由、罪名情况</w:t>
            </w:r>
            <w:r>
              <w:rPr>
                <w:noProof/>
                <w:webHidden/>
              </w:rPr>
              <w:tab/>
            </w:r>
            <w:r>
              <w:rPr>
                <w:noProof/>
                <w:webHidden/>
              </w:rPr>
              <w:fldChar w:fldCharType="begin"/>
            </w:r>
            <w:r>
              <w:rPr>
                <w:noProof/>
                <w:webHidden/>
              </w:rPr>
              <w:instrText xml:space="preserve"> PAGEREF _Toc25137264 \h </w:instrText>
            </w:r>
            <w:r>
              <w:rPr>
                <w:noProof/>
                <w:webHidden/>
              </w:rPr>
            </w:r>
            <w:r>
              <w:rPr>
                <w:noProof/>
                <w:webHidden/>
              </w:rPr>
              <w:fldChar w:fldCharType="separate"/>
            </w:r>
            <w:r>
              <w:rPr>
                <w:noProof/>
                <w:webHidden/>
              </w:rPr>
              <w:t>7</w:t>
            </w:r>
            <w:r>
              <w:rPr>
                <w:noProof/>
                <w:webHidden/>
              </w:rPr>
              <w:fldChar w:fldCharType="end"/>
            </w:r>
          </w:hyperlink>
        </w:p>
        <w:p w:rsidR="001656FE" w:rsidRDefault="001656FE">
          <w:pPr>
            <w:pStyle w:val="20"/>
            <w:tabs>
              <w:tab w:val="right" w:leader="dot" w:pos="9060"/>
            </w:tabs>
            <w:rPr>
              <w:rFonts w:asciiTheme="minorHAnsi" w:eastAsiaTheme="minorEastAsia" w:hAnsiTheme="minorHAnsi" w:cstheme="minorBidi"/>
              <w:noProof/>
              <w:szCs w:val="22"/>
            </w:rPr>
          </w:pPr>
          <w:hyperlink w:anchor="_Toc25137265" w:history="1">
            <w:r w:rsidRPr="009034F0">
              <w:rPr>
                <w:rStyle w:val="a8"/>
                <w:rFonts w:hint="eastAsia"/>
                <w:noProof/>
              </w:rPr>
              <w:t>（三）</w:t>
            </w:r>
            <w:r w:rsidRPr="009034F0">
              <w:rPr>
                <w:rStyle w:val="a8"/>
                <w:noProof/>
              </w:rPr>
              <w:t>2019</w:t>
            </w:r>
            <w:r w:rsidRPr="009034F0">
              <w:rPr>
                <w:rStyle w:val="a8"/>
                <w:rFonts w:hint="eastAsia"/>
                <w:noProof/>
              </w:rPr>
              <w:t>年</w:t>
            </w:r>
            <w:r w:rsidRPr="009034F0">
              <w:rPr>
                <w:rStyle w:val="a8"/>
                <w:noProof/>
              </w:rPr>
              <w:t>1-9</w:t>
            </w:r>
            <w:r w:rsidRPr="009034F0">
              <w:rPr>
                <w:rStyle w:val="a8"/>
                <w:rFonts w:hint="eastAsia"/>
                <w:noProof/>
              </w:rPr>
              <w:t>月和龙法院法定（正常）审限内结案率情况</w:t>
            </w:r>
            <w:r>
              <w:rPr>
                <w:noProof/>
                <w:webHidden/>
              </w:rPr>
              <w:tab/>
            </w:r>
            <w:r>
              <w:rPr>
                <w:noProof/>
                <w:webHidden/>
              </w:rPr>
              <w:fldChar w:fldCharType="begin"/>
            </w:r>
            <w:r>
              <w:rPr>
                <w:noProof/>
                <w:webHidden/>
              </w:rPr>
              <w:instrText xml:space="preserve"> PAGEREF _Toc25137265 \h </w:instrText>
            </w:r>
            <w:r>
              <w:rPr>
                <w:noProof/>
                <w:webHidden/>
              </w:rPr>
            </w:r>
            <w:r>
              <w:rPr>
                <w:noProof/>
                <w:webHidden/>
              </w:rPr>
              <w:fldChar w:fldCharType="separate"/>
            </w:r>
            <w:r>
              <w:rPr>
                <w:noProof/>
                <w:webHidden/>
              </w:rPr>
              <w:t>9</w:t>
            </w:r>
            <w:r>
              <w:rPr>
                <w:noProof/>
                <w:webHidden/>
              </w:rPr>
              <w:fldChar w:fldCharType="end"/>
            </w:r>
          </w:hyperlink>
        </w:p>
        <w:p w:rsidR="001656FE" w:rsidRDefault="001656FE">
          <w:pPr>
            <w:pStyle w:val="20"/>
            <w:tabs>
              <w:tab w:val="right" w:leader="dot" w:pos="9060"/>
            </w:tabs>
            <w:rPr>
              <w:rFonts w:asciiTheme="minorHAnsi" w:eastAsiaTheme="minorEastAsia" w:hAnsiTheme="minorHAnsi" w:cstheme="minorBidi"/>
              <w:noProof/>
              <w:szCs w:val="22"/>
            </w:rPr>
          </w:pPr>
          <w:hyperlink w:anchor="_Toc25137266" w:history="1">
            <w:r w:rsidRPr="009034F0">
              <w:rPr>
                <w:rStyle w:val="a8"/>
                <w:rFonts w:hint="eastAsia"/>
                <w:noProof/>
              </w:rPr>
              <w:t>（四）</w:t>
            </w:r>
            <w:r w:rsidRPr="009034F0">
              <w:rPr>
                <w:rStyle w:val="a8"/>
                <w:noProof/>
              </w:rPr>
              <w:t>2019</w:t>
            </w:r>
            <w:r w:rsidRPr="009034F0">
              <w:rPr>
                <w:rStyle w:val="a8"/>
                <w:rFonts w:hint="eastAsia"/>
                <w:noProof/>
              </w:rPr>
              <w:t>年</w:t>
            </w:r>
            <w:r w:rsidRPr="009034F0">
              <w:rPr>
                <w:rStyle w:val="a8"/>
                <w:noProof/>
              </w:rPr>
              <w:t>1-9</w:t>
            </w:r>
            <w:r w:rsidRPr="009034F0">
              <w:rPr>
                <w:rStyle w:val="a8"/>
                <w:rFonts w:hint="eastAsia"/>
                <w:noProof/>
              </w:rPr>
              <w:t>月和龙法院诉讼案件结收比情况统计表</w:t>
            </w:r>
            <w:r>
              <w:rPr>
                <w:noProof/>
                <w:webHidden/>
              </w:rPr>
              <w:tab/>
            </w:r>
            <w:r>
              <w:rPr>
                <w:noProof/>
                <w:webHidden/>
              </w:rPr>
              <w:fldChar w:fldCharType="begin"/>
            </w:r>
            <w:r>
              <w:rPr>
                <w:noProof/>
                <w:webHidden/>
              </w:rPr>
              <w:instrText xml:space="preserve"> PAGEREF _Toc25137266 \h </w:instrText>
            </w:r>
            <w:r>
              <w:rPr>
                <w:noProof/>
                <w:webHidden/>
              </w:rPr>
            </w:r>
            <w:r>
              <w:rPr>
                <w:noProof/>
                <w:webHidden/>
              </w:rPr>
              <w:fldChar w:fldCharType="separate"/>
            </w:r>
            <w:r>
              <w:rPr>
                <w:noProof/>
                <w:webHidden/>
              </w:rPr>
              <w:t>9</w:t>
            </w:r>
            <w:r>
              <w:rPr>
                <w:noProof/>
                <w:webHidden/>
              </w:rPr>
              <w:fldChar w:fldCharType="end"/>
            </w:r>
          </w:hyperlink>
        </w:p>
        <w:p w:rsidR="001656FE" w:rsidRDefault="001656FE">
          <w:pPr>
            <w:pStyle w:val="10"/>
            <w:tabs>
              <w:tab w:val="right" w:leader="dot" w:pos="9060"/>
            </w:tabs>
            <w:rPr>
              <w:rFonts w:asciiTheme="minorHAnsi" w:eastAsiaTheme="minorEastAsia" w:hAnsiTheme="minorHAnsi" w:cstheme="minorBidi"/>
              <w:noProof/>
              <w:szCs w:val="22"/>
            </w:rPr>
          </w:pPr>
          <w:hyperlink w:anchor="_Toc25137267" w:history="1">
            <w:r w:rsidRPr="009034F0">
              <w:rPr>
                <w:rStyle w:val="a8"/>
                <w:rFonts w:hint="eastAsia"/>
                <w:noProof/>
              </w:rPr>
              <w:t>五、</w:t>
            </w:r>
            <w:r w:rsidRPr="009034F0">
              <w:rPr>
                <w:rStyle w:val="a8"/>
                <w:noProof/>
              </w:rPr>
              <w:t>2019</w:t>
            </w:r>
            <w:r w:rsidRPr="009034F0">
              <w:rPr>
                <w:rStyle w:val="a8"/>
                <w:rFonts w:hint="eastAsia"/>
                <w:noProof/>
              </w:rPr>
              <w:t>年</w:t>
            </w:r>
            <w:r w:rsidRPr="009034F0">
              <w:rPr>
                <w:rStyle w:val="a8"/>
                <w:noProof/>
              </w:rPr>
              <w:t>1-9</w:t>
            </w:r>
            <w:r w:rsidRPr="009034F0">
              <w:rPr>
                <w:rStyle w:val="a8"/>
                <w:rFonts w:hint="eastAsia"/>
                <w:noProof/>
              </w:rPr>
              <w:t>月和龙法院诉讼案件未结情况</w:t>
            </w:r>
            <w:r>
              <w:rPr>
                <w:noProof/>
                <w:webHidden/>
              </w:rPr>
              <w:tab/>
            </w:r>
            <w:r>
              <w:rPr>
                <w:noProof/>
                <w:webHidden/>
              </w:rPr>
              <w:fldChar w:fldCharType="begin"/>
            </w:r>
            <w:r>
              <w:rPr>
                <w:noProof/>
                <w:webHidden/>
              </w:rPr>
              <w:instrText xml:space="preserve"> PAGEREF _Toc25137267 \h </w:instrText>
            </w:r>
            <w:r>
              <w:rPr>
                <w:noProof/>
                <w:webHidden/>
              </w:rPr>
            </w:r>
            <w:r>
              <w:rPr>
                <w:noProof/>
                <w:webHidden/>
              </w:rPr>
              <w:fldChar w:fldCharType="separate"/>
            </w:r>
            <w:r>
              <w:rPr>
                <w:noProof/>
                <w:webHidden/>
              </w:rPr>
              <w:t>9</w:t>
            </w:r>
            <w:r>
              <w:rPr>
                <w:noProof/>
                <w:webHidden/>
              </w:rPr>
              <w:fldChar w:fldCharType="end"/>
            </w:r>
          </w:hyperlink>
        </w:p>
        <w:p w:rsidR="001656FE" w:rsidRDefault="001656FE">
          <w:pPr>
            <w:pStyle w:val="20"/>
            <w:tabs>
              <w:tab w:val="right" w:leader="dot" w:pos="9060"/>
            </w:tabs>
            <w:rPr>
              <w:rFonts w:asciiTheme="minorHAnsi" w:eastAsiaTheme="minorEastAsia" w:hAnsiTheme="minorHAnsi" w:cstheme="minorBidi"/>
              <w:noProof/>
              <w:szCs w:val="22"/>
            </w:rPr>
          </w:pPr>
          <w:hyperlink w:anchor="_Toc25137268" w:history="1">
            <w:r w:rsidRPr="009034F0">
              <w:rPr>
                <w:rStyle w:val="a8"/>
                <w:rFonts w:hint="eastAsia"/>
                <w:noProof/>
              </w:rPr>
              <w:t>（一）</w:t>
            </w:r>
            <w:r w:rsidRPr="009034F0">
              <w:rPr>
                <w:rStyle w:val="a8"/>
                <w:noProof/>
              </w:rPr>
              <w:t>2019</w:t>
            </w:r>
            <w:r w:rsidRPr="009034F0">
              <w:rPr>
                <w:rStyle w:val="a8"/>
                <w:rFonts w:hint="eastAsia"/>
                <w:noProof/>
              </w:rPr>
              <w:t>年</w:t>
            </w:r>
            <w:r w:rsidRPr="009034F0">
              <w:rPr>
                <w:rStyle w:val="a8"/>
                <w:noProof/>
              </w:rPr>
              <w:t>1-9</w:t>
            </w:r>
            <w:r w:rsidRPr="009034F0">
              <w:rPr>
                <w:rStyle w:val="a8"/>
                <w:rFonts w:hint="eastAsia"/>
                <w:noProof/>
              </w:rPr>
              <w:t>月和龙法院长期未结诉讼案件占比情况</w:t>
            </w:r>
            <w:r>
              <w:rPr>
                <w:noProof/>
                <w:webHidden/>
              </w:rPr>
              <w:tab/>
            </w:r>
            <w:r>
              <w:rPr>
                <w:noProof/>
                <w:webHidden/>
              </w:rPr>
              <w:fldChar w:fldCharType="begin"/>
            </w:r>
            <w:r>
              <w:rPr>
                <w:noProof/>
                <w:webHidden/>
              </w:rPr>
              <w:instrText xml:space="preserve"> PAGEREF _Toc25137268 \h </w:instrText>
            </w:r>
            <w:r>
              <w:rPr>
                <w:noProof/>
                <w:webHidden/>
              </w:rPr>
            </w:r>
            <w:r>
              <w:rPr>
                <w:noProof/>
                <w:webHidden/>
              </w:rPr>
              <w:fldChar w:fldCharType="separate"/>
            </w:r>
            <w:r>
              <w:rPr>
                <w:noProof/>
                <w:webHidden/>
              </w:rPr>
              <w:t>9</w:t>
            </w:r>
            <w:r>
              <w:rPr>
                <w:noProof/>
                <w:webHidden/>
              </w:rPr>
              <w:fldChar w:fldCharType="end"/>
            </w:r>
          </w:hyperlink>
        </w:p>
        <w:p w:rsidR="001656FE" w:rsidRDefault="001656FE">
          <w:pPr>
            <w:pStyle w:val="20"/>
            <w:tabs>
              <w:tab w:val="right" w:leader="dot" w:pos="9060"/>
            </w:tabs>
            <w:rPr>
              <w:rFonts w:asciiTheme="minorHAnsi" w:eastAsiaTheme="minorEastAsia" w:hAnsiTheme="minorHAnsi" w:cstheme="minorBidi"/>
              <w:noProof/>
              <w:szCs w:val="22"/>
            </w:rPr>
          </w:pPr>
          <w:hyperlink w:anchor="_Toc25137269" w:history="1">
            <w:r w:rsidRPr="009034F0">
              <w:rPr>
                <w:rStyle w:val="a8"/>
                <w:rFonts w:hint="eastAsia"/>
                <w:noProof/>
              </w:rPr>
              <w:t>（二）</w:t>
            </w:r>
            <w:r w:rsidRPr="009034F0">
              <w:rPr>
                <w:rStyle w:val="a8"/>
                <w:noProof/>
              </w:rPr>
              <w:t>2019</w:t>
            </w:r>
            <w:r w:rsidRPr="009034F0">
              <w:rPr>
                <w:rStyle w:val="a8"/>
                <w:rFonts w:hint="eastAsia"/>
                <w:noProof/>
              </w:rPr>
              <w:t>年</w:t>
            </w:r>
            <w:r w:rsidRPr="009034F0">
              <w:rPr>
                <w:rStyle w:val="a8"/>
                <w:noProof/>
              </w:rPr>
              <w:t>1-9</w:t>
            </w:r>
            <w:r w:rsidRPr="009034F0">
              <w:rPr>
                <w:rStyle w:val="a8"/>
                <w:rFonts w:hint="eastAsia"/>
                <w:noProof/>
              </w:rPr>
              <w:t>月延长审限未结比情况</w:t>
            </w:r>
            <w:r>
              <w:rPr>
                <w:noProof/>
                <w:webHidden/>
              </w:rPr>
              <w:tab/>
            </w:r>
            <w:r>
              <w:rPr>
                <w:noProof/>
                <w:webHidden/>
              </w:rPr>
              <w:fldChar w:fldCharType="begin"/>
            </w:r>
            <w:r>
              <w:rPr>
                <w:noProof/>
                <w:webHidden/>
              </w:rPr>
              <w:instrText xml:space="preserve"> PAGEREF _Toc25137269 \h </w:instrText>
            </w:r>
            <w:r>
              <w:rPr>
                <w:noProof/>
                <w:webHidden/>
              </w:rPr>
            </w:r>
            <w:r>
              <w:rPr>
                <w:noProof/>
                <w:webHidden/>
              </w:rPr>
              <w:fldChar w:fldCharType="separate"/>
            </w:r>
            <w:r>
              <w:rPr>
                <w:noProof/>
                <w:webHidden/>
              </w:rPr>
              <w:t>10</w:t>
            </w:r>
            <w:r>
              <w:rPr>
                <w:noProof/>
                <w:webHidden/>
              </w:rPr>
              <w:fldChar w:fldCharType="end"/>
            </w:r>
          </w:hyperlink>
        </w:p>
        <w:p w:rsidR="001656FE" w:rsidRDefault="001656FE">
          <w:pPr>
            <w:pStyle w:val="10"/>
            <w:tabs>
              <w:tab w:val="right" w:leader="dot" w:pos="9060"/>
            </w:tabs>
            <w:rPr>
              <w:rFonts w:asciiTheme="minorHAnsi" w:eastAsiaTheme="minorEastAsia" w:hAnsiTheme="minorHAnsi" w:cstheme="minorBidi"/>
              <w:noProof/>
              <w:szCs w:val="22"/>
            </w:rPr>
          </w:pPr>
          <w:hyperlink w:anchor="_Toc25137270" w:history="1">
            <w:r w:rsidRPr="009034F0">
              <w:rPr>
                <w:rStyle w:val="a8"/>
                <w:rFonts w:hint="eastAsia"/>
                <w:noProof/>
              </w:rPr>
              <w:t>六、</w:t>
            </w:r>
            <w:r w:rsidRPr="009034F0">
              <w:rPr>
                <w:rStyle w:val="a8"/>
                <w:noProof/>
              </w:rPr>
              <w:t>2019</w:t>
            </w:r>
            <w:r w:rsidRPr="009034F0">
              <w:rPr>
                <w:rStyle w:val="a8"/>
                <w:rFonts w:hint="eastAsia"/>
                <w:noProof/>
              </w:rPr>
              <w:t>年</w:t>
            </w:r>
            <w:r w:rsidRPr="009034F0">
              <w:rPr>
                <w:rStyle w:val="a8"/>
                <w:noProof/>
              </w:rPr>
              <w:t>1-9</w:t>
            </w:r>
            <w:r w:rsidRPr="009034F0">
              <w:rPr>
                <w:rStyle w:val="a8"/>
                <w:rFonts w:hint="eastAsia"/>
                <w:noProof/>
              </w:rPr>
              <w:t>月和龙法院均衡结案情况</w:t>
            </w:r>
            <w:r>
              <w:rPr>
                <w:noProof/>
                <w:webHidden/>
              </w:rPr>
              <w:tab/>
            </w:r>
            <w:r>
              <w:rPr>
                <w:noProof/>
                <w:webHidden/>
              </w:rPr>
              <w:fldChar w:fldCharType="begin"/>
            </w:r>
            <w:r>
              <w:rPr>
                <w:noProof/>
                <w:webHidden/>
              </w:rPr>
              <w:instrText xml:space="preserve"> PAGEREF _Toc25137270 \h </w:instrText>
            </w:r>
            <w:r>
              <w:rPr>
                <w:noProof/>
                <w:webHidden/>
              </w:rPr>
            </w:r>
            <w:r>
              <w:rPr>
                <w:noProof/>
                <w:webHidden/>
              </w:rPr>
              <w:fldChar w:fldCharType="separate"/>
            </w:r>
            <w:r>
              <w:rPr>
                <w:noProof/>
                <w:webHidden/>
              </w:rPr>
              <w:t>10</w:t>
            </w:r>
            <w:r>
              <w:rPr>
                <w:noProof/>
                <w:webHidden/>
              </w:rPr>
              <w:fldChar w:fldCharType="end"/>
            </w:r>
          </w:hyperlink>
        </w:p>
        <w:p w:rsidR="001656FE" w:rsidRDefault="001656FE">
          <w:pPr>
            <w:pStyle w:val="20"/>
            <w:tabs>
              <w:tab w:val="right" w:leader="dot" w:pos="9060"/>
            </w:tabs>
            <w:rPr>
              <w:rFonts w:asciiTheme="minorHAnsi" w:eastAsiaTheme="minorEastAsia" w:hAnsiTheme="minorHAnsi" w:cstheme="minorBidi"/>
              <w:noProof/>
              <w:szCs w:val="22"/>
            </w:rPr>
          </w:pPr>
          <w:hyperlink w:anchor="_Toc25137271" w:history="1">
            <w:r w:rsidRPr="009034F0">
              <w:rPr>
                <w:rStyle w:val="a8"/>
                <w:rFonts w:hint="eastAsia"/>
                <w:noProof/>
              </w:rPr>
              <w:t>（一）</w:t>
            </w:r>
            <w:r w:rsidRPr="009034F0">
              <w:rPr>
                <w:rStyle w:val="a8"/>
                <w:noProof/>
              </w:rPr>
              <w:t>2019</w:t>
            </w:r>
            <w:r w:rsidRPr="009034F0">
              <w:rPr>
                <w:rStyle w:val="a8"/>
                <w:rFonts w:hint="eastAsia"/>
                <w:noProof/>
              </w:rPr>
              <w:t>年</w:t>
            </w:r>
            <w:r w:rsidRPr="009034F0">
              <w:rPr>
                <w:rStyle w:val="a8"/>
                <w:noProof/>
              </w:rPr>
              <w:t>1-9</w:t>
            </w:r>
            <w:r w:rsidRPr="009034F0">
              <w:rPr>
                <w:rStyle w:val="a8"/>
                <w:rFonts w:hint="eastAsia"/>
                <w:noProof/>
              </w:rPr>
              <w:t>月和龙法院结案数波动指数情况</w:t>
            </w:r>
            <w:r>
              <w:rPr>
                <w:noProof/>
                <w:webHidden/>
              </w:rPr>
              <w:tab/>
            </w:r>
            <w:r>
              <w:rPr>
                <w:noProof/>
                <w:webHidden/>
              </w:rPr>
              <w:fldChar w:fldCharType="begin"/>
            </w:r>
            <w:r>
              <w:rPr>
                <w:noProof/>
                <w:webHidden/>
              </w:rPr>
              <w:instrText xml:space="preserve"> PAGEREF _Toc25137271 \h </w:instrText>
            </w:r>
            <w:r>
              <w:rPr>
                <w:noProof/>
                <w:webHidden/>
              </w:rPr>
            </w:r>
            <w:r>
              <w:rPr>
                <w:noProof/>
                <w:webHidden/>
              </w:rPr>
              <w:fldChar w:fldCharType="separate"/>
            </w:r>
            <w:r>
              <w:rPr>
                <w:noProof/>
                <w:webHidden/>
              </w:rPr>
              <w:t>10</w:t>
            </w:r>
            <w:r>
              <w:rPr>
                <w:noProof/>
                <w:webHidden/>
              </w:rPr>
              <w:fldChar w:fldCharType="end"/>
            </w:r>
          </w:hyperlink>
        </w:p>
        <w:p w:rsidR="001656FE" w:rsidRDefault="001656FE">
          <w:pPr>
            <w:pStyle w:val="20"/>
            <w:tabs>
              <w:tab w:val="right" w:leader="dot" w:pos="9060"/>
            </w:tabs>
            <w:rPr>
              <w:rFonts w:asciiTheme="minorHAnsi" w:eastAsiaTheme="minorEastAsia" w:hAnsiTheme="minorHAnsi" w:cstheme="minorBidi"/>
              <w:noProof/>
              <w:szCs w:val="22"/>
            </w:rPr>
          </w:pPr>
          <w:hyperlink w:anchor="_Toc25137272" w:history="1">
            <w:r w:rsidRPr="009034F0">
              <w:rPr>
                <w:rStyle w:val="a8"/>
                <w:rFonts w:hint="eastAsia"/>
                <w:noProof/>
              </w:rPr>
              <w:t>（二）</w:t>
            </w:r>
            <w:r w:rsidRPr="009034F0">
              <w:rPr>
                <w:rStyle w:val="a8"/>
                <w:noProof/>
              </w:rPr>
              <w:t>2019</w:t>
            </w:r>
            <w:r w:rsidRPr="009034F0">
              <w:rPr>
                <w:rStyle w:val="a8"/>
                <w:rFonts w:hint="eastAsia"/>
                <w:noProof/>
              </w:rPr>
              <w:t>年</w:t>
            </w:r>
            <w:r w:rsidRPr="009034F0">
              <w:rPr>
                <w:rStyle w:val="a8"/>
                <w:noProof/>
              </w:rPr>
              <w:t>1-9</w:t>
            </w:r>
            <w:r w:rsidRPr="009034F0">
              <w:rPr>
                <w:rStyle w:val="a8"/>
                <w:rFonts w:hint="eastAsia"/>
                <w:noProof/>
              </w:rPr>
              <w:t>月和龙法院结案率波动指数情况</w:t>
            </w:r>
            <w:r>
              <w:rPr>
                <w:noProof/>
                <w:webHidden/>
              </w:rPr>
              <w:tab/>
            </w:r>
            <w:r>
              <w:rPr>
                <w:noProof/>
                <w:webHidden/>
              </w:rPr>
              <w:fldChar w:fldCharType="begin"/>
            </w:r>
            <w:r>
              <w:rPr>
                <w:noProof/>
                <w:webHidden/>
              </w:rPr>
              <w:instrText xml:space="preserve"> PAGEREF _Toc25137272 \h </w:instrText>
            </w:r>
            <w:r>
              <w:rPr>
                <w:noProof/>
                <w:webHidden/>
              </w:rPr>
            </w:r>
            <w:r>
              <w:rPr>
                <w:noProof/>
                <w:webHidden/>
              </w:rPr>
              <w:fldChar w:fldCharType="separate"/>
            </w:r>
            <w:r>
              <w:rPr>
                <w:noProof/>
                <w:webHidden/>
              </w:rPr>
              <w:t>10</w:t>
            </w:r>
            <w:r>
              <w:rPr>
                <w:noProof/>
                <w:webHidden/>
              </w:rPr>
              <w:fldChar w:fldCharType="end"/>
            </w:r>
          </w:hyperlink>
        </w:p>
        <w:p w:rsidR="001656FE" w:rsidRDefault="001656FE">
          <w:pPr>
            <w:pStyle w:val="20"/>
            <w:tabs>
              <w:tab w:val="right" w:leader="dot" w:pos="9060"/>
            </w:tabs>
            <w:rPr>
              <w:rFonts w:asciiTheme="minorHAnsi" w:eastAsiaTheme="minorEastAsia" w:hAnsiTheme="minorHAnsi" w:cstheme="minorBidi"/>
              <w:noProof/>
              <w:szCs w:val="22"/>
            </w:rPr>
          </w:pPr>
          <w:hyperlink w:anchor="_Toc25137273" w:history="1">
            <w:r w:rsidRPr="009034F0">
              <w:rPr>
                <w:rStyle w:val="a8"/>
                <w:rFonts w:hint="eastAsia"/>
                <w:noProof/>
              </w:rPr>
              <w:t>（三）</w:t>
            </w:r>
            <w:r w:rsidRPr="009034F0">
              <w:rPr>
                <w:rStyle w:val="a8"/>
                <w:noProof/>
              </w:rPr>
              <w:t>2019</w:t>
            </w:r>
            <w:r w:rsidRPr="009034F0">
              <w:rPr>
                <w:rStyle w:val="a8"/>
                <w:rFonts w:hint="eastAsia"/>
                <w:noProof/>
              </w:rPr>
              <w:t>年</w:t>
            </w:r>
            <w:r w:rsidRPr="009034F0">
              <w:rPr>
                <w:rStyle w:val="a8"/>
                <w:noProof/>
              </w:rPr>
              <w:t>1-9</w:t>
            </w:r>
            <w:r w:rsidRPr="009034F0">
              <w:rPr>
                <w:rStyle w:val="a8"/>
                <w:rFonts w:hint="eastAsia"/>
                <w:noProof/>
              </w:rPr>
              <w:t>月和龙法院案件结收指数情况</w:t>
            </w:r>
            <w:r>
              <w:rPr>
                <w:noProof/>
                <w:webHidden/>
              </w:rPr>
              <w:tab/>
            </w:r>
            <w:r>
              <w:rPr>
                <w:noProof/>
                <w:webHidden/>
              </w:rPr>
              <w:fldChar w:fldCharType="begin"/>
            </w:r>
            <w:r>
              <w:rPr>
                <w:noProof/>
                <w:webHidden/>
              </w:rPr>
              <w:instrText xml:space="preserve"> PAGEREF _Toc25137273 \h </w:instrText>
            </w:r>
            <w:r>
              <w:rPr>
                <w:noProof/>
                <w:webHidden/>
              </w:rPr>
            </w:r>
            <w:r>
              <w:rPr>
                <w:noProof/>
                <w:webHidden/>
              </w:rPr>
              <w:fldChar w:fldCharType="separate"/>
            </w:r>
            <w:r>
              <w:rPr>
                <w:noProof/>
                <w:webHidden/>
              </w:rPr>
              <w:t>11</w:t>
            </w:r>
            <w:r>
              <w:rPr>
                <w:noProof/>
                <w:webHidden/>
              </w:rPr>
              <w:fldChar w:fldCharType="end"/>
            </w:r>
          </w:hyperlink>
        </w:p>
        <w:p w:rsidR="001656FE" w:rsidRDefault="001656FE">
          <w:pPr>
            <w:pStyle w:val="20"/>
            <w:tabs>
              <w:tab w:val="right" w:leader="dot" w:pos="9060"/>
            </w:tabs>
            <w:rPr>
              <w:rFonts w:asciiTheme="minorHAnsi" w:eastAsiaTheme="minorEastAsia" w:hAnsiTheme="minorHAnsi" w:cstheme="minorBidi"/>
              <w:noProof/>
              <w:szCs w:val="22"/>
            </w:rPr>
          </w:pPr>
          <w:hyperlink w:anchor="_Toc25137274" w:history="1">
            <w:r w:rsidRPr="009034F0">
              <w:rPr>
                <w:rStyle w:val="a8"/>
                <w:rFonts w:hint="eastAsia"/>
                <w:noProof/>
              </w:rPr>
              <w:t>（四）</w:t>
            </w:r>
            <w:r w:rsidRPr="009034F0">
              <w:rPr>
                <w:rStyle w:val="a8"/>
                <w:noProof/>
              </w:rPr>
              <w:t>2019</w:t>
            </w:r>
            <w:r w:rsidRPr="009034F0">
              <w:rPr>
                <w:rStyle w:val="a8"/>
                <w:rFonts w:hint="eastAsia"/>
                <w:noProof/>
              </w:rPr>
              <w:t>年</w:t>
            </w:r>
            <w:r w:rsidRPr="009034F0">
              <w:rPr>
                <w:rStyle w:val="a8"/>
                <w:noProof/>
              </w:rPr>
              <w:t>1-9</w:t>
            </w:r>
            <w:r w:rsidRPr="009034F0">
              <w:rPr>
                <w:rStyle w:val="a8"/>
                <w:rFonts w:hint="eastAsia"/>
                <w:noProof/>
              </w:rPr>
              <w:t>月和龙法院超审限未结指数情况</w:t>
            </w:r>
            <w:r>
              <w:rPr>
                <w:noProof/>
                <w:webHidden/>
              </w:rPr>
              <w:tab/>
            </w:r>
            <w:r>
              <w:rPr>
                <w:noProof/>
                <w:webHidden/>
              </w:rPr>
              <w:fldChar w:fldCharType="begin"/>
            </w:r>
            <w:r>
              <w:rPr>
                <w:noProof/>
                <w:webHidden/>
              </w:rPr>
              <w:instrText xml:space="preserve"> PAGEREF _Toc25137274 \h </w:instrText>
            </w:r>
            <w:r>
              <w:rPr>
                <w:noProof/>
                <w:webHidden/>
              </w:rPr>
            </w:r>
            <w:r>
              <w:rPr>
                <w:noProof/>
                <w:webHidden/>
              </w:rPr>
              <w:fldChar w:fldCharType="separate"/>
            </w:r>
            <w:r>
              <w:rPr>
                <w:noProof/>
                <w:webHidden/>
              </w:rPr>
              <w:t>11</w:t>
            </w:r>
            <w:r>
              <w:rPr>
                <w:noProof/>
                <w:webHidden/>
              </w:rPr>
              <w:fldChar w:fldCharType="end"/>
            </w:r>
          </w:hyperlink>
        </w:p>
        <w:p w:rsidR="001656FE" w:rsidRDefault="001656FE">
          <w:pPr>
            <w:pStyle w:val="20"/>
            <w:tabs>
              <w:tab w:val="right" w:leader="dot" w:pos="9060"/>
            </w:tabs>
            <w:rPr>
              <w:rFonts w:asciiTheme="minorHAnsi" w:eastAsiaTheme="minorEastAsia" w:hAnsiTheme="minorHAnsi" w:cstheme="minorBidi"/>
              <w:noProof/>
              <w:szCs w:val="22"/>
            </w:rPr>
          </w:pPr>
          <w:hyperlink w:anchor="_Toc25137275" w:history="1">
            <w:r w:rsidRPr="009034F0">
              <w:rPr>
                <w:rStyle w:val="a8"/>
                <w:rFonts w:hint="eastAsia"/>
                <w:noProof/>
              </w:rPr>
              <w:t>（五）</w:t>
            </w:r>
            <w:r w:rsidRPr="009034F0">
              <w:rPr>
                <w:rStyle w:val="a8"/>
                <w:noProof/>
              </w:rPr>
              <w:t>2019</w:t>
            </w:r>
            <w:r w:rsidRPr="009034F0">
              <w:rPr>
                <w:rStyle w:val="a8"/>
                <w:rFonts w:hint="eastAsia"/>
                <w:noProof/>
              </w:rPr>
              <w:t>年</w:t>
            </w:r>
            <w:r w:rsidRPr="009034F0">
              <w:rPr>
                <w:rStyle w:val="a8"/>
                <w:noProof/>
              </w:rPr>
              <w:t>1-9</w:t>
            </w:r>
            <w:r w:rsidRPr="009034F0">
              <w:rPr>
                <w:rStyle w:val="a8"/>
                <w:rFonts w:hint="eastAsia"/>
                <w:noProof/>
              </w:rPr>
              <w:t>月和龙法院四类案件未结指数情况</w:t>
            </w:r>
            <w:r>
              <w:rPr>
                <w:noProof/>
                <w:webHidden/>
              </w:rPr>
              <w:tab/>
            </w:r>
            <w:r>
              <w:rPr>
                <w:noProof/>
                <w:webHidden/>
              </w:rPr>
              <w:fldChar w:fldCharType="begin"/>
            </w:r>
            <w:r>
              <w:rPr>
                <w:noProof/>
                <w:webHidden/>
              </w:rPr>
              <w:instrText xml:space="preserve"> PAGEREF _Toc25137275 \h </w:instrText>
            </w:r>
            <w:r>
              <w:rPr>
                <w:noProof/>
                <w:webHidden/>
              </w:rPr>
            </w:r>
            <w:r>
              <w:rPr>
                <w:noProof/>
                <w:webHidden/>
              </w:rPr>
              <w:fldChar w:fldCharType="separate"/>
            </w:r>
            <w:r>
              <w:rPr>
                <w:noProof/>
                <w:webHidden/>
              </w:rPr>
              <w:t>11</w:t>
            </w:r>
            <w:r>
              <w:rPr>
                <w:noProof/>
                <w:webHidden/>
              </w:rPr>
              <w:fldChar w:fldCharType="end"/>
            </w:r>
          </w:hyperlink>
        </w:p>
        <w:p w:rsidR="001656FE" w:rsidRDefault="001656FE">
          <w:pPr>
            <w:pStyle w:val="20"/>
            <w:tabs>
              <w:tab w:val="right" w:leader="dot" w:pos="9060"/>
            </w:tabs>
            <w:rPr>
              <w:rFonts w:asciiTheme="minorHAnsi" w:eastAsiaTheme="minorEastAsia" w:hAnsiTheme="minorHAnsi" w:cstheme="minorBidi"/>
              <w:noProof/>
              <w:szCs w:val="22"/>
            </w:rPr>
          </w:pPr>
          <w:hyperlink w:anchor="_Toc25137276" w:history="1">
            <w:r w:rsidRPr="009034F0">
              <w:rPr>
                <w:rStyle w:val="a8"/>
                <w:rFonts w:hint="eastAsia"/>
                <w:noProof/>
              </w:rPr>
              <w:t>（六）</w:t>
            </w:r>
            <w:r w:rsidRPr="009034F0">
              <w:rPr>
                <w:rStyle w:val="a8"/>
                <w:noProof/>
              </w:rPr>
              <w:t>2019</w:t>
            </w:r>
            <w:r w:rsidRPr="009034F0">
              <w:rPr>
                <w:rStyle w:val="a8"/>
                <w:rFonts w:hint="eastAsia"/>
                <w:noProof/>
              </w:rPr>
              <w:t>年</w:t>
            </w:r>
            <w:r w:rsidRPr="009034F0">
              <w:rPr>
                <w:rStyle w:val="a8"/>
                <w:noProof/>
              </w:rPr>
              <w:t>1-9</w:t>
            </w:r>
            <w:r w:rsidRPr="009034F0">
              <w:rPr>
                <w:rStyle w:val="a8"/>
                <w:rFonts w:hint="eastAsia"/>
                <w:noProof/>
              </w:rPr>
              <w:t>月和龙法院庭审直播数占比情况</w:t>
            </w:r>
            <w:r>
              <w:rPr>
                <w:noProof/>
                <w:webHidden/>
              </w:rPr>
              <w:tab/>
            </w:r>
            <w:r>
              <w:rPr>
                <w:noProof/>
                <w:webHidden/>
              </w:rPr>
              <w:fldChar w:fldCharType="begin"/>
            </w:r>
            <w:r>
              <w:rPr>
                <w:noProof/>
                <w:webHidden/>
              </w:rPr>
              <w:instrText xml:space="preserve"> PAGEREF _Toc25137276 \h </w:instrText>
            </w:r>
            <w:r>
              <w:rPr>
                <w:noProof/>
                <w:webHidden/>
              </w:rPr>
            </w:r>
            <w:r>
              <w:rPr>
                <w:noProof/>
                <w:webHidden/>
              </w:rPr>
              <w:fldChar w:fldCharType="separate"/>
            </w:r>
            <w:r>
              <w:rPr>
                <w:noProof/>
                <w:webHidden/>
              </w:rPr>
              <w:t>11</w:t>
            </w:r>
            <w:r>
              <w:rPr>
                <w:noProof/>
                <w:webHidden/>
              </w:rPr>
              <w:fldChar w:fldCharType="end"/>
            </w:r>
          </w:hyperlink>
        </w:p>
        <w:p w:rsidR="001656FE" w:rsidRDefault="001656FE">
          <w:pPr>
            <w:pStyle w:val="20"/>
            <w:tabs>
              <w:tab w:val="right" w:leader="dot" w:pos="9060"/>
            </w:tabs>
            <w:rPr>
              <w:rFonts w:asciiTheme="minorHAnsi" w:eastAsiaTheme="minorEastAsia" w:hAnsiTheme="minorHAnsi" w:cstheme="minorBidi"/>
              <w:noProof/>
              <w:szCs w:val="22"/>
            </w:rPr>
          </w:pPr>
          <w:hyperlink w:anchor="_Toc25137277" w:history="1">
            <w:r w:rsidRPr="009034F0">
              <w:rPr>
                <w:rStyle w:val="a8"/>
                <w:rFonts w:hint="eastAsia"/>
                <w:noProof/>
              </w:rPr>
              <w:t>（七）卷宗归档率指标</w:t>
            </w:r>
            <w:r>
              <w:rPr>
                <w:noProof/>
                <w:webHidden/>
              </w:rPr>
              <w:tab/>
            </w:r>
            <w:r>
              <w:rPr>
                <w:noProof/>
                <w:webHidden/>
              </w:rPr>
              <w:fldChar w:fldCharType="begin"/>
            </w:r>
            <w:r>
              <w:rPr>
                <w:noProof/>
                <w:webHidden/>
              </w:rPr>
              <w:instrText xml:space="preserve"> PAGEREF _Toc25137277 \h </w:instrText>
            </w:r>
            <w:r>
              <w:rPr>
                <w:noProof/>
                <w:webHidden/>
              </w:rPr>
            </w:r>
            <w:r>
              <w:rPr>
                <w:noProof/>
                <w:webHidden/>
              </w:rPr>
              <w:fldChar w:fldCharType="separate"/>
            </w:r>
            <w:r>
              <w:rPr>
                <w:noProof/>
                <w:webHidden/>
              </w:rPr>
              <w:t>11</w:t>
            </w:r>
            <w:r>
              <w:rPr>
                <w:noProof/>
                <w:webHidden/>
              </w:rPr>
              <w:fldChar w:fldCharType="end"/>
            </w:r>
          </w:hyperlink>
        </w:p>
        <w:p w:rsidR="001656FE" w:rsidRDefault="001656FE">
          <w:pPr>
            <w:pStyle w:val="10"/>
            <w:tabs>
              <w:tab w:val="right" w:leader="dot" w:pos="9060"/>
            </w:tabs>
            <w:rPr>
              <w:rFonts w:asciiTheme="minorHAnsi" w:eastAsiaTheme="minorEastAsia" w:hAnsiTheme="minorHAnsi" w:cstheme="minorBidi"/>
              <w:noProof/>
              <w:szCs w:val="22"/>
            </w:rPr>
          </w:pPr>
          <w:hyperlink w:anchor="_Toc25137278" w:history="1">
            <w:r w:rsidRPr="009034F0">
              <w:rPr>
                <w:rStyle w:val="a8"/>
                <w:rFonts w:hint="eastAsia"/>
                <w:noProof/>
              </w:rPr>
              <w:t>七、和龙法院审判执行工作特点</w:t>
            </w:r>
            <w:r>
              <w:rPr>
                <w:noProof/>
                <w:webHidden/>
              </w:rPr>
              <w:tab/>
            </w:r>
            <w:r>
              <w:rPr>
                <w:noProof/>
                <w:webHidden/>
              </w:rPr>
              <w:fldChar w:fldCharType="begin"/>
            </w:r>
            <w:r>
              <w:rPr>
                <w:noProof/>
                <w:webHidden/>
              </w:rPr>
              <w:instrText xml:space="preserve"> PAGEREF _Toc25137278 \h </w:instrText>
            </w:r>
            <w:r>
              <w:rPr>
                <w:noProof/>
                <w:webHidden/>
              </w:rPr>
            </w:r>
            <w:r>
              <w:rPr>
                <w:noProof/>
                <w:webHidden/>
              </w:rPr>
              <w:fldChar w:fldCharType="separate"/>
            </w:r>
            <w:r>
              <w:rPr>
                <w:noProof/>
                <w:webHidden/>
              </w:rPr>
              <w:t>12</w:t>
            </w:r>
            <w:r>
              <w:rPr>
                <w:noProof/>
                <w:webHidden/>
              </w:rPr>
              <w:fldChar w:fldCharType="end"/>
            </w:r>
          </w:hyperlink>
        </w:p>
        <w:p w:rsidR="001656FE" w:rsidRDefault="001656FE">
          <w:pPr>
            <w:pStyle w:val="20"/>
            <w:tabs>
              <w:tab w:val="right" w:leader="dot" w:pos="9060"/>
            </w:tabs>
            <w:rPr>
              <w:rFonts w:asciiTheme="minorHAnsi" w:eastAsiaTheme="minorEastAsia" w:hAnsiTheme="minorHAnsi" w:cstheme="minorBidi"/>
              <w:noProof/>
              <w:szCs w:val="22"/>
            </w:rPr>
          </w:pPr>
          <w:hyperlink w:anchor="_Toc25137279" w:history="1">
            <w:r w:rsidRPr="009034F0">
              <w:rPr>
                <w:rStyle w:val="a8"/>
                <w:rFonts w:hint="eastAsia"/>
                <w:noProof/>
              </w:rPr>
              <w:t>（一）结案数量同比增加</w:t>
            </w:r>
            <w:r>
              <w:rPr>
                <w:noProof/>
                <w:webHidden/>
              </w:rPr>
              <w:tab/>
            </w:r>
            <w:r>
              <w:rPr>
                <w:noProof/>
                <w:webHidden/>
              </w:rPr>
              <w:fldChar w:fldCharType="begin"/>
            </w:r>
            <w:r>
              <w:rPr>
                <w:noProof/>
                <w:webHidden/>
              </w:rPr>
              <w:instrText xml:space="preserve"> PAGEREF _Toc25137279 \h </w:instrText>
            </w:r>
            <w:r>
              <w:rPr>
                <w:noProof/>
                <w:webHidden/>
              </w:rPr>
            </w:r>
            <w:r>
              <w:rPr>
                <w:noProof/>
                <w:webHidden/>
              </w:rPr>
              <w:fldChar w:fldCharType="separate"/>
            </w:r>
            <w:r>
              <w:rPr>
                <w:noProof/>
                <w:webHidden/>
              </w:rPr>
              <w:t>12</w:t>
            </w:r>
            <w:r>
              <w:rPr>
                <w:noProof/>
                <w:webHidden/>
              </w:rPr>
              <w:fldChar w:fldCharType="end"/>
            </w:r>
          </w:hyperlink>
        </w:p>
        <w:p w:rsidR="001656FE" w:rsidRDefault="001656FE">
          <w:pPr>
            <w:pStyle w:val="20"/>
            <w:tabs>
              <w:tab w:val="right" w:leader="dot" w:pos="9060"/>
            </w:tabs>
            <w:rPr>
              <w:rFonts w:asciiTheme="minorHAnsi" w:eastAsiaTheme="minorEastAsia" w:hAnsiTheme="minorHAnsi" w:cstheme="minorBidi"/>
              <w:noProof/>
              <w:szCs w:val="22"/>
            </w:rPr>
          </w:pPr>
          <w:hyperlink w:anchor="_Toc25137280" w:history="1">
            <w:r w:rsidRPr="009034F0">
              <w:rPr>
                <w:rStyle w:val="a8"/>
                <w:rFonts w:hint="eastAsia"/>
                <w:noProof/>
              </w:rPr>
              <w:t>（二）法定审限内结案率</w:t>
            </w:r>
            <w:r>
              <w:rPr>
                <w:noProof/>
                <w:webHidden/>
              </w:rPr>
              <w:tab/>
            </w:r>
            <w:r>
              <w:rPr>
                <w:noProof/>
                <w:webHidden/>
              </w:rPr>
              <w:fldChar w:fldCharType="begin"/>
            </w:r>
            <w:r>
              <w:rPr>
                <w:noProof/>
                <w:webHidden/>
              </w:rPr>
              <w:instrText xml:space="preserve"> PAGEREF _Toc25137280 \h </w:instrText>
            </w:r>
            <w:r>
              <w:rPr>
                <w:noProof/>
                <w:webHidden/>
              </w:rPr>
            </w:r>
            <w:r>
              <w:rPr>
                <w:noProof/>
                <w:webHidden/>
              </w:rPr>
              <w:fldChar w:fldCharType="separate"/>
            </w:r>
            <w:r>
              <w:rPr>
                <w:noProof/>
                <w:webHidden/>
              </w:rPr>
              <w:t>12</w:t>
            </w:r>
            <w:r>
              <w:rPr>
                <w:noProof/>
                <w:webHidden/>
              </w:rPr>
              <w:fldChar w:fldCharType="end"/>
            </w:r>
          </w:hyperlink>
        </w:p>
        <w:p w:rsidR="001656FE" w:rsidRDefault="001656FE">
          <w:pPr>
            <w:pStyle w:val="20"/>
            <w:tabs>
              <w:tab w:val="right" w:leader="dot" w:pos="9060"/>
            </w:tabs>
            <w:rPr>
              <w:rFonts w:asciiTheme="minorHAnsi" w:eastAsiaTheme="minorEastAsia" w:hAnsiTheme="minorHAnsi" w:cstheme="minorBidi"/>
              <w:noProof/>
              <w:szCs w:val="22"/>
            </w:rPr>
          </w:pPr>
          <w:hyperlink w:anchor="_Toc25137281" w:history="1">
            <w:r w:rsidRPr="009034F0">
              <w:rPr>
                <w:rStyle w:val="a8"/>
                <w:rFonts w:cs="仿宋" w:hint="eastAsia"/>
                <w:noProof/>
              </w:rPr>
              <w:t>（三）</w:t>
            </w:r>
            <w:r w:rsidRPr="009034F0">
              <w:rPr>
                <w:rStyle w:val="a8"/>
                <w:rFonts w:hint="eastAsia"/>
                <w:noProof/>
              </w:rPr>
              <w:t>旧存案件、长期未结案件清理工作需要努力</w:t>
            </w:r>
            <w:r>
              <w:rPr>
                <w:noProof/>
                <w:webHidden/>
              </w:rPr>
              <w:tab/>
            </w:r>
            <w:r>
              <w:rPr>
                <w:noProof/>
                <w:webHidden/>
              </w:rPr>
              <w:fldChar w:fldCharType="begin"/>
            </w:r>
            <w:r>
              <w:rPr>
                <w:noProof/>
                <w:webHidden/>
              </w:rPr>
              <w:instrText xml:space="preserve"> PAGEREF _Toc25137281 \h </w:instrText>
            </w:r>
            <w:r>
              <w:rPr>
                <w:noProof/>
                <w:webHidden/>
              </w:rPr>
            </w:r>
            <w:r>
              <w:rPr>
                <w:noProof/>
                <w:webHidden/>
              </w:rPr>
              <w:fldChar w:fldCharType="separate"/>
            </w:r>
            <w:r>
              <w:rPr>
                <w:noProof/>
                <w:webHidden/>
              </w:rPr>
              <w:t>12</w:t>
            </w:r>
            <w:r>
              <w:rPr>
                <w:noProof/>
                <w:webHidden/>
              </w:rPr>
              <w:fldChar w:fldCharType="end"/>
            </w:r>
          </w:hyperlink>
        </w:p>
        <w:p w:rsidR="001656FE" w:rsidRDefault="001656FE">
          <w:pPr>
            <w:pStyle w:val="20"/>
            <w:tabs>
              <w:tab w:val="right" w:leader="dot" w:pos="9060"/>
            </w:tabs>
            <w:rPr>
              <w:rFonts w:asciiTheme="minorHAnsi" w:eastAsiaTheme="minorEastAsia" w:hAnsiTheme="minorHAnsi" w:cstheme="minorBidi"/>
              <w:noProof/>
              <w:szCs w:val="22"/>
            </w:rPr>
          </w:pPr>
          <w:hyperlink w:anchor="_Toc25137282" w:history="1">
            <w:r w:rsidRPr="009034F0">
              <w:rPr>
                <w:rStyle w:val="a8"/>
                <w:rFonts w:hint="eastAsia"/>
                <w:noProof/>
              </w:rPr>
              <w:t>（四）一审案件简易程序适用率较低</w:t>
            </w:r>
            <w:r>
              <w:rPr>
                <w:noProof/>
                <w:webHidden/>
              </w:rPr>
              <w:tab/>
            </w:r>
            <w:r>
              <w:rPr>
                <w:noProof/>
                <w:webHidden/>
              </w:rPr>
              <w:fldChar w:fldCharType="begin"/>
            </w:r>
            <w:r>
              <w:rPr>
                <w:noProof/>
                <w:webHidden/>
              </w:rPr>
              <w:instrText xml:space="preserve"> PAGEREF _Toc25137282 \h </w:instrText>
            </w:r>
            <w:r>
              <w:rPr>
                <w:noProof/>
                <w:webHidden/>
              </w:rPr>
            </w:r>
            <w:r>
              <w:rPr>
                <w:noProof/>
                <w:webHidden/>
              </w:rPr>
              <w:fldChar w:fldCharType="separate"/>
            </w:r>
            <w:r>
              <w:rPr>
                <w:noProof/>
                <w:webHidden/>
              </w:rPr>
              <w:t>12</w:t>
            </w:r>
            <w:r>
              <w:rPr>
                <w:noProof/>
                <w:webHidden/>
              </w:rPr>
              <w:fldChar w:fldCharType="end"/>
            </w:r>
          </w:hyperlink>
        </w:p>
        <w:p w:rsidR="001656FE" w:rsidRDefault="001656FE">
          <w:pPr>
            <w:pStyle w:val="20"/>
            <w:tabs>
              <w:tab w:val="right" w:leader="dot" w:pos="9060"/>
            </w:tabs>
            <w:rPr>
              <w:rFonts w:asciiTheme="minorHAnsi" w:eastAsiaTheme="minorEastAsia" w:hAnsiTheme="minorHAnsi" w:cstheme="minorBidi"/>
              <w:noProof/>
              <w:szCs w:val="22"/>
            </w:rPr>
          </w:pPr>
          <w:hyperlink w:anchor="_Toc25137283" w:history="1">
            <w:r w:rsidRPr="009034F0">
              <w:rPr>
                <w:rStyle w:val="a8"/>
                <w:rFonts w:hint="eastAsia"/>
                <w:noProof/>
              </w:rPr>
              <w:t>（五）一审案件服判息诉率指标较低</w:t>
            </w:r>
            <w:r>
              <w:rPr>
                <w:noProof/>
                <w:webHidden/>
              </w:rPr>
              <w:tab/>
            </w:r>
            <w:r>
              <w:rPr>
                <w:noProof/>
                <w:webHidden/>
              </w:rPr>
              <w:fldChar w:fldCharType="begin"/>
            </w:r>
            <w:r>
              <w:rPr>
                <w:noProof/>
                <w:webHidden/>
              </w:rPr>
              <w:instrText xml:space="preserve"> PAGEREF _Toc25137283 \h </w:instrText>
            </w:r>
            <w:r>
              <w:rPr>
                <w:noProof/>
                <w:webHidden/>
              </w:rPr>
            </w:r>
            <w:r>
              <w:rPr>
                <w:noProof/>
                <w:webHidden/>
              </w:rPr>
              <w:fldChar w:fldCharType="separate"/>
            </w:r>
            <w:r>
              <w:rPr>
                <w:noProof/>
                <w:webHidden/>
              </w:rPr>
              <w:t>12</w:t>
            </w:r>
            <w:r>
              <w:rPr>
                <w:noProof/>
                <w:webHidden/>
              </w:rPr>
              <w:fldChar w:fldCharType="end"/>
            </w:r>
          </w:hyperlink>
        </w:p>
        <w:p w:rsidR="001656FE" w:rsidRDefault="001656FE">
          <w:pPr>
            <w:pStyle w:val="20"/>
            <w:tabs>
              <w:tab w:val="right" w:leader="dot" w:pos="9060"/>
            </w:tabs>
            <w:rPr>
              <w:rFonts w:asciiTheme="minorHAnsi" w:eastAsiaTheme="minorEastAsia" w:hAnsiTheme="minorHAnsi" w:cstheme="minorBidi"/>
              <w:noProof/>
              <w:szCs w:val="22"/>
            </w:rPr>
          </w:pPr>
          <w:hyperlink w:anchor="_Toc25137284" w:history="1">
            <w:r w:rsidRPr="009034F0">
              <w:rPr>
                <w:rStyle w:val="a8"/>
                <w:rFonts w:hint="eastAsia"/>
                <w:noProof/>
              </w:rPr>
              <w:t>（六）庭审直播工作推进情况较好</w:t>
            </w:r>
            <w:r>
              <w:rPr>
                <w:noProof/>
                <w:webHidden/>
              </w:rPr>
              <w:tab/>
            </w:r>
            <w:r>
              <w:rPr>
                <w:noProof/>
                <w:webHidden/>
              </w:rPr>
              <w:fldChar w:fldCharType="begin"/>
            </w:r>
            <w:r>
              <w:rPr>
                <w:noProof/>
                <w:webHidden/>
              </w:rPr>
              <w:instrText xml:space="preserve"> PAGEREF _Toc25137284 \h </w:instrText>
            </w:r>
            <w:r>
              <w:rPr>
                <w:noProof/>
                <w:webHidden/>
              </w:rPr>
            </w:r>
            <w:r>
              <w:rPr>
                <w:noProof/>
                <w:webHidden/>
              </w:rPr>
              <w:fldChar w:fldCharType="separate"/>
            </w:r>
            <w:r>
              <w:rPr>
                <w:noProof/>
                <w:webHidden/>
              </w:rPr>
              <w:t>12</w:t>
            </w:r>
            <w:r>
              <w:rPr>
                <w:noProof/>
                <w:webHidden/>
              </w:rPr>
              <w:fldChar w:fldCharType="end"/>
            </w:r>
          </w:hyperlink>
        </w:p>
        <w:p w:rsidR="001656FE" w:rsidRDefault="001656FE">
          <w:pPr>
            <w:pStyle w:val="20"/>
            <w:tabs>
              <w:tab w:val="right" w:leader="dot" w:pos="9060"/>
            </w:tabs>
            <w:rPr>
              <w:rFonts w:asciiTheme="minorHAnsi" w:eastAsiaTheme="minorEastAsia" w:hAnsiTheme="minorHAnsi" w:cstheme="minorBidi"/>
              <w:noProof/>
              <w:szCs w:val="22"/>
            </w:rPr>
          </w:pPr>
          <w:hyperlink w:anchor="_Toc25137285" w:history="1">
            <w:r w:rsidRPr="009034F0">
              <w:rPr>
                <w:rStyle w:val="a8"/>
                <w:rFonts w:hint="eastAsia"/>
                <w:noProof/>
              </w:rPr>
              <w:t>（七）卷宗归档工作效率较好</w:t>
            </w:r>
            <w:r>
              <w:rPr>
                <w:noProof/>
                <w:webHidden/>
              </w:rPr>
              <w:tab/>
            </w:r>
            <w:r>
              <w:rPr>
                <w:noProof/>
                <w:webHidden/>
              </w:rPr>
              <w:fldChar w:fldCharType="begin"/>
            </w:r>
            <w:r>
              <w:rPr>
                <w:noProof/>
                <w:webHidden/>
              </w:rPr>
              <w:instrText xml:space="preserve"> PAGEREF _Toc25137285 \h </w:instrText>
            </w:r>
            <w:r>
              <w:rPr>
                <w:noProof/>
                <w:webHidden/>
              </w:rPr>
            </w:r>
            <w:r>
              <w:rPr>
                <w:noProof/>
                <w:webHidden/>
              </w:rPr>
              <w:fldChar w:fldCharType="separate"/>
            </w:r>
            <w:r>
              <w:rPr>
                <w:noProof/>
                <w:webHidden/>
              </w:rPr>
              <w:t>12</w:t>
            </w:r>
            <w:r>
              <w:rPr>
                <w:noProof/>
                <w:webHidden/>
              </w:rPr>
              <w:fldChar w:fldCharType="end"/>
            </w:r>
          </w:hyperlink>
        </w:p>
        <w:p w:rsidR="001656FE" w:rsidRDefault="001656FE">
          <w:pPr>
            <w:pStyle w:val="10"/>
            <w:tabs>
              <w:tab w:val="right" w:leader="dot" w:pos="9060"/>
            </w:tabs>
            <w:rPr>
              <w:rFonts w:asciiTheme="minorHAnsi" w:eastAsiaTheme="minorEastAsia" w:hAnsiTheme="minorHAnsi" w:cstheme="minorBidi"/>
              <w:noProof/>
              <w:szCs w:val="22"/>
            </w:rPr>
          </w:pPr>
          <w:hyperlink w:anchor="_Toc25137286" w:history="1">
            <w:r w:rsidRPr="009034F0">
              <w:rPr>
                <w:rStyle w:val="a8"/>
                <w:rFonts w:hint="eastAsia"/>
                <w:noProof/>
              </w:rPr>
              <w:t>八、下一步审判执行工作的建议</w:t>
            </w:r>
            <w:r>
              <w:rPr>
                <w:noProof/>
                <w:webHidden/>
              </w:rPr>
              <w:tab/>
            </w:r>
            <w:r>
              <w:rPr>
                <w:noProof/>
                <w:webHidden/>
              </w:rPr>
              <w:fldChar w:fldCharType="begin"/>
            </w:r>
            <w:r>
              <w:rPr>
                <w:noProof/>
                <w:webHidden/>
              </w:rPr>
              <w:instrText xml:space="preserve"> PAGEREF _Toc25137286 \h </w:instrText>
            </w:r>
            <w:r>
              <w:rPr>
                <w:noProof/>
                <w:webHidden/>
              </w:rPr>
            </w:r>
            <w:r>
              <w:rPr>
                <w:noProof/>
                <w:webHidden/>
              </w:rPr>
              <w:fldChar w:fldCharType="separate"/>
            </w:r>
            <w:r>
              <w:rPr>
                <w:noProof/>
                <w:webHidden/>
              </w:rPr>
              <w:t>13</w:t>
            </w:r>
            <w:r>
              <w:rPr>
                <w:noProof/>
                <w:webHidden/>
              </w:rPr>
              <w:fldChar w:fldCharType="end"/>
            </w:r>
          </w:hyperlink>
        </w:p>
        <w:p w:rsidR="001656FE" w:rsidRDefault="001656FE">
          <w:pPr>
            <w:pStyle w:val="20"/>
            <w:tabs>
              <w:tab w:val="right" w:leader="dot" w:pos="9060"/>
            </w:tabs>
            <w:rPr>
              <w:rFonts w:asciiTheme="minorHAnsi" w:eastAsiaTheme="minorEastAsia" w:hAnsiTheme="minorHAnsi" w:cstheme="minorBidi"/>
              <w:noProof/>
              <w:szCs w:val="22"/>
            </w:rPr>
          </w:pPr>
          <w:hyperlink w:anchor="_Toc25137287" w:history="1">
            <w:r w:rsidRPr="009034F0">
              <w:rPr>
                <w:rStyle w:val="a8"/>
                <w:rFonts w:hint="eastAsia"/>
                <w:noProof/>
              </w:rPr>
              <w:t>（一）以审判绩效考核为统领，进一步抓实审判执行工作</w:t>
            </w:r>
            <w:r>
              <w:rPr>
                <w:noProof/>
                <w:webHidden/>
              </w:rPr>
              <w:tab/>
            </w:r>
            <w:r>
              <w:rPr>
                <w:noProof/>
                <w:webHidden/>
              </w:rPr>
              <w:fldChar w:fldCharType="begin"/>
            </w:r>
            <w:r>
              <w:rPr>
                <w:noProof/>
                <w:webHidden/>
              </w:rPr>
              <w:instrText xml:space="preserve"> PAGEREF _Toc25137287 \h </w:instrText>
            </w:r>
            <w:r>
              <w:rPr>
                <w:noProof/>
                <w:webHidden/>
              </w:rPr>
            </w:r>
            <w:r>
              <w:rPr>
                <w:noProof/>
                <w:webHidden/>
              </w:rPr>
              <w:fldChar w:fldCharType="separate"/>
            </w:r>
            <w:r>
              <w:rPr>
                <w:noProof/>
                <w:webHidden/>
              </w:rPr>
              <w:t>13</w:t>
            </w:r>
            <w:r>
              <w:rPr>
                <w:noProof/>
                <w:webHidden/>
              </w:rPr>
              <w:fldChar w:fldCharType="end"/>
            </w:r>
          </w:hyperlink>
        </w:p>
        <w:p w:rsidR="001656FE" w:rsidRDefault="001656FE">
          <w:pPr>
            <w:pStyle w:val="20"/>
            <w:tabs>
              <w:tab w:val="right" w:leader="dot" w:pos="9060"/>
            </w:tabs>
            <w:rPr>
              <w:rFonts w:asciiTheme="minorHAnsi" w:eastAsiaTheme="minorEastAsia" w:hAnsiTheme="minorHAnsi" w:cstheme="minorBidi"/>
              <w:noProof/>
              <w:szCs w:val="22"/>
            </w:rPr>
          </w:pPr>
          <w:hyperlink w:anchor="_Toc25137288" w:history="1">
            <w:r w:rsidRPr="009034F0">
              <w:rPr>
                <w:rStyle w:val="a8"/>
                <w:rFonts w:hint="eastAsia"/>
                <w:noProof/>
              </w:rPr>
              <w:t>（二）以审判质效提升为关键，进一步提质增效</w:t>
            </w:r>
            <w:r>
              <w:rPr>
                <w:noProof/>
                <w:webHidden/>
              </w:rPr>
              <w:tab/>
            </w:r>
            <w:r>
              <w:rPr>
                <w:noProof/>
                <w:webHidden/>
              </w:rPr>
              <w:fldChar w:fldCharType="begin"/>
            </w:r>
            <w:r>
              <w:rPr>
                <w:noProof/>
                <w:webHidden/>
              </w:rPr>
              <w:instrText xml:space="preserve"> PAGEREF _Toc25137288 \h </w:instrText>
            </w:r>
            <w:r>
              <w:rPr>
                <w:noProof/>
                <w:webHidden/>
              </w:rPr>
            </w:r>
            <w:r>
              <w:rPr>
                <w:noProof/>
                <w:webHidden/>
              </w:rPr>
              <w:fldChar w:fldCharType="separate"/>
            </w:r>
            <w:r>
              <w:rPr>
                <w:noProof/>
                <w:webHidden/>
              </w:rPr>
              <w:t>13</w:t>
            </w:r>
            <w:r>
              <w:rPr>
                <w:noProof/>
                <w:webHidden/>
              </w:rPr>
              <w:fldChar w:fldCharType="end"/>
            </w:r>
          </w:hyperlink>
        </w:p>
        <w:p w:rsidR="001656FE" w:rsidRDefault="001656FE">
          <w:pPr>
            <w:pStyle w:val="30"/>
            <w:tabs>
              <w:tab w:val="right" w:leader="dot" w:pos="9060"/>
            </w:tabs>
            <w:rPr>
              <w:rFonts w:asciiTheme="minorHAnsi" w:eastAsiaTheme="minorEastAsia" w:hAnsiTheme="minorHAnsi" w:cstheme="minorBidi"/>
              <w:noProof/>
              <w:szCs w:val="22"/>
            </w:rPr>
          </w:pPr>
          <w:hyperlink w:anchor="_Toc25137289" w:history="1">
            <w:r w:rsidRPr="009034F0">
              <w:rPr>
                <w:rStyle w:val="a8"/>
                <w:noProof/>
              </w:rPr>
              <w:t>1</w:t>
            </w:r>
            <w:r w:rsidRPr="009034F0">
              <w:rPr>
                <w:rStyle w:val="a8"/>
                <w:rFonts w:hint="eastAsia"/>
                <w:noProof/>
              </w:rPr>
              <w:t>、进一步提高审判质量</w:t>
            </w:r>
            <w:r>
              <w:rPr>
                <w:noProof/>
                <w:webHidden/>
              </w:rPr>
              <w:tab/>
            </w:r>
            <w:r>
              <w:rPr>
                <w:noProof/>
                <w:webHidden/>
              </w:rPr>
              <w:fldChar w:fldCharType="begin"/>
            </w:r>
            <w:r>
              <w:rPr>
                <w:noProof/>
                <w:webHidden/>
              </w:rPr>
              <w:instrText xml:space="preserve"> PAGEREF _Toc25137289 \h </w:instrText>
            </w:r>
            <w:r>
              <w:rPr>
                <w:noProof/>
                <w:webHidden/>
              </w:rPr>
            </w:r>
            <w:r>
              <w:rPr>
                <w:noProof/>
                <w:webHidden/>
              </w:rPr>
              <w:fldChar w:fldCharType="separate"/>
            </w:r>
            <w:r>
              <w:rPr>
                <w:noProof/>
                <w:webHidden/>
              </w:rPr>
              <w:t>13</w:t>
            </w:r>
            <w:r>
              <w:rPr>
                <w:noProof/>
                <w:webHidden/>
              </w:rPr>
              <w:fldChar w:fldCharType="end"/>
            </w:r>
          </w:hyperlink>
        </w:p>
        <w:p w:rsidR="001656FE" w:rsidRDefault="001656FE">
          <w:pPr>
            <w:pStyle w:val="30"/>
            <w:tabs>
              <w:tab w:val="right" w:leader="dot" w:pos="9060"/>
            </w:tabs>
            <w:rPr>
              <w:rFonts w:asciiTheme="minorHAnsi" w:eastAsiaTheme="minorEastAsia" w:hAnsiTheme="minorHAnsi" w:cstheme="minorBidi"/>
              <w:noProof/>
              <w:szCs w:val="22"/>
            </w:rPr>
          </w:pPr>
          <w:hyperlink w:anchor="_Toc25137290" w:history="1">
            <w:r w:rsidRPr="009034F0">
              <w:rPr>
                <w:rStyle w:val="a8"/>
                <w:noProof/>
              </w:rPr>
              <w:t>2</w:t>
            </w:r>
            <w:r w:rsidRPr="009034F0">
              <w:rPr>
                <w:rStyle w:val="a8"/>
                <w:rFonts w:hint="eastAsia"/>
                <w:noProof/>
              </w:rPr>
              <w:t>、大力提高诉讼案件审判效率</w:t>
            </w:r>
            <w:r>
              <w:rPr>
                <w:noProof/>
                <w:webHidden/>
              </w:rPr>
              <w:tab/>
            </w:r>
            <w:r>
              <w:rPr>
                <w:noProof/>
                <w:webHidden/>
              </w:rPr>
              <w:fldChar w:fldCharType="begin"/>
            </w:r>
            <w:r>
              <w:rPr>
                <w:noProof/>
                <w:webHidden/>
              </w:rPr>
              <w:instrText xml:space="preserve"> PAGEREF _Toc25137290 \h </w:instrText>
            </w:r>
            <w:r>
              <w:rPr>
                <w:noProof/>
                <w:webHidden/>
              </w:rPr>
            </w:r>
            <w:r>
              <w:rPr>
                <w:noProof/>
                <w:webHidden/>
              </w:rPr>
              <w:fldChar w:fldCharType="separate"/>
            </w:r>
            <w:r>
              <w:rPr>
                <w:noProof/>
                <w:webHidden/>
              </w:rPr>
              <w:t>13</w:t>
            </w:r>
            <w:r>
              <w:rPr>
                <w:noProof/>
                <w:webHidden/>
              </w:rPr>
              <w:fldChar w:fldCharType="end"/>
            </w:r>
          </w:hyperlink>
        </w:p>
        <w:p w:rsidR="001656FE" w:rsidRDefault="001656FE">
          <w:pPr>
            <w:pStyle w:val="20"/>
            <w:tabs>
              <w:tab w:val="right" w:leader="dot" w:pos="9060"/>
            </w:tabs>
            <w:rPr>
              <w:rFonts w:asciiTheme="minorHAnsi" w:eastAsiaTheme="minorEastAsia" w:hAnsiTheme="minorHAnsi" w:cstheme="minorBidi"/>
              <w:noProof/>
              <w:szCs w:val="22"/>
            </w:rPr>
          </w:pPr>
          <w:hyperlink w:anchor="_Toc25137291" w:history="1">
            <w:r w:rsidRPr="009034F0">
              <w:rPr>
                <w:rStyle w:val="a8"/>
                <w:rFonts w:hint="eastAsia"/>
                <w:noProof/>
              </w:rPr>
              <w:t>（三）以智慧法院深度应用为抓手，进一步提高服务法官和诉讼参与人的能力</w:t>
            </w:r>
            <w:r>
              <w:rPr>
                <w:noProof/>
                <w:webHidden/>
              </w:rPr>
              <w:tab/>
            </w:r>
            <w:r>
              <w:rPr>
                <w:noProof/>
                <w:webHidden/>
              </w:rPr>
              <w:fldChar w:fldCharType="begin"/>
            </w:r>
            <w:r>
              <w:rPr>
                <w:noProof/>
                <w:webHidden/>
              </w:rPr>
              <w:instrText xml:space="preserve"> PAGEREF _Toc25137291 \h </w:instrText>
            </w:r>
            <w:r>
              <w:rPr>
                <w:noProof/>
                <w:webHidden/>
              </w:rPr>
            </w:r>
            <w:r>
              <w:rPr>
                <w:noProof/>
                <w:webHidden/>
              </w:rPr>
              <w:fldChar w:fldCharType="separate"/>
            </w:r>
            <w:r>
              <w:rPr>
                <w:noProof/>
                <w:webHidden/>
              </w:rPr>
              <w:t>14</w:t>
            </w:r>
            <w:r>
              <w:rPr>
                <w:noProof/>
                <w:webHidden/>
              </w:rPr>
              <w:fldChar w:fldCharType="end"/>
            </w:r>
          </w:hyperlink>
        </w:p>
        <w:p w:rsidR="001656FE" w:rsidRDefault="001656FE">
          <w:pPr>
            <w:pStyle w:val="30"/>
            <w:tabs>
              <w:tab w:val="right" w:leader="dot" w:pos="9060"/>
            </w:tabs>
            <w:rPr>
              <w:rFonts w:asciiTheme="minorHAnsi" w:eastAsiaTheme="minorEastAsia" w:hAnsiTheme="minorHAnsi" w:cstheme="minorBidi"/>
              <w:noProof/>
              <w:szCs w:val="22"/>
            </w:rPr>
          </w:pPr>
          <w:hyperlink w:anchor="_Toc25137292" w:history="1">
            <w:r w:rsidRPr="009034F0">
              <w:rPr>
                <w:rStyle w:val="a8"/>
                <w:noProof/>
              </w:rPr>
              <w:t>1</w:t>
            </w:r>
            <w:r w:rsidRPr="009034F0">
              <w:rPr>
                <w:rStyle w:val="a8"/>
                <w:rFonts w:hint="eastAsia"/>
                <w:noProof/>
              </w:rPr>
              <w:t>、加快推进电子卷宗同步生成和深度应用工作</w:t>
            </w:r>
            <w:r>
              <w:rPr>
                <w:noProof/>
                <w:webHidden/>
              </w:rPr>
              <w:tab/>
            </w:r>
            <w:r>
              <w:rPr>
                <w:noProof/>
                <w:webHidden/>
              </w:rPr>
              <w:fldChar w:fldCharType="begin"/>
            </w:r>
            <w:r>
              <w:rPr>
                <w:noProof/>
                <w:webHidden/>
              </w:rPr>
              <w:instrText xml:space="preserve"> PAGEREF _Toc25137292 \h </w:instrText>
            </w:r>
            <w:r>
              <w:rPr>
                <w:noProof/>
                <w:webHidden/>
              </w:rPr>
            </w:r>
            <w:r>
              <w:rPr>
                <w:noProof/>
                <w:webHidden/>
              </w:rPr>
              <w:fldChar w:fldCharType="separate"/>
            </w:r>
            <w:r>
              <w:rPr>
                <w:noProof/>
                <w:webHidden/>
              </w:rPr>
              <w:t>14</w:t>
            </w:r>
            <w:r>
              <w:rPr>
                <w:noProof/>
                <w:webHidden/>
              </w:rPr>
              <w:fldChar w:fldCharType="end"/>
            </w:r>
          </w:hyperlink>
        </w:p>
        <w:p w:rsidR="001656FE" w:rsidRDefault="001656FE">
          <w:pPr>
            <w:pStyle w:val="30"/>
            <w:tabs>
              <w:tab w:val="right" w:leader="dot" w:pos="9060"/>
            </w:tabs>
            <w:rPr>
              <w:rFonts w:asciiTheme="minorHAnsi" w:eastAsiaTheme="minorEastAsia" w:hAnsiTheme="minorHAnsi" w:cstheme="minorBidi"/>
              <w:noProof/>
              <w:szCs w:val="22"/>
            </w:rPr>
          </w:pPr>
          <w:hyperlink w:anchor="_Toc25137293" w:history="1">
            <w:r w:rsidRPr="009034F0">
              <w:rPr>
                <w:rStyle w:val="a8"/>
                <w:noProof/>
              </w:rPr>
              <w:t>2</w:t>
            </w:r>
            <w:r w:rsidRPr="009034F0">
              <w:rPr>
                <w:rStyle w:val="a8"/>
                <w:rFonts w:hint="eastAsia"/>
                <w:noProof/>
              </w:rPr>
              <w:t>、深化智慧法院应用加大司法公开力度</w:t>
            </w:r>
            <w:r>
              <w:rPr>
                <w:noProof/>
                <w:webHidden/>
              </w:rPr>
              <w:tab/>
            </w:r>
            <w:r>
              <w:rPr>
                <w:noProof/>
                <w:webHidden/>
              </w:rPr>
              <w:fldChar w:fldCharType="begin"/>
            </w:r>
            <w:r>
              <w:rPr>
                <w:noProof/>
                <w:webHidden/>
              </w:rPr>
              <w:instrText xml:space="preserve"> PAGEREF _Toc25137293 \h </w:instrText>
            </w:r>
            <w:r>
              <w:rPr>
                <w:noProof/>
                <w:webHidden/>
              </w:rPr>
            </w:r>
            <w:r>
              <w:rPr>
                <w:noProof/>
                <w:webHidden/>
              </w:rPr>
              <w:fldChar w:fldCharType="separate"/>
            </w:r>
            <w:r>
              <w:rPr>
                <w:noProof/>
                <w:webHidden/>
              </w:rPr>
              <w:t>14</w:t>
            </w:r>
            <w:r>
              <w:rPr>
                <w:noProof/>
                <w:webHidden/>
              </w:rPr>
              <w:fldChar w:fldCharType="end"/>
            </w:r>
          </w:hyperlink>
        </w:p>
        <w:p w:rsidR="00025DAE" w:rsidRPr="0018122A" w:rsidRDefault="000112BF">
          <w:pPr>
            <w:rPr>
              <w:color w:val="000000" w:themeColor="text1"/>
            </w:rPr>
          </w:pPr>
          <w:r w:rsidRPr="0018122A">
            <w:rPr>
              <w:color w:val="000000" w:themeColor="text1"/>
            </w:rPr>
            <w:fldChar w:fldCharType="end"/>
          </w:r>
        </w:p>
      </w:sdtContent>
    </w:sdt>
    <w:p w:rsidR="00025DAE" w:rsidRPr="0018122A" w:rsidRDefault="00025DAE">
      <w:pPr>
        <w:rPr>
          <w:color w:val="000000" w:themeColor="text1"/>
        </w:rPr>
      </w:pPr>
    </w:p>
    <w:p w:rsidR="00025DAE" w:rsidRPr="0018122A" w:rsidRDefault="00025DAE">
      <w:pPr>
        <w:widowControl/>
        <w:rPr>
          <w:color w:val="000000" w:themeColor="text1"/>
        </w:rPr>
      </w:pPr>
    </w:p>
    <w:p w:rsidR="00025DAE" w:rsidRPr="0018122A" w:rsidRDefault="00025DAE" w:rsidP="00F35CD3">
      <w:pPr>
        <w:widowControl/>
        <w:tabs>
          <w:tab w:val="left" w:pos="465"/>
          <w:tab w:val="center" w:pos="4535"/>
        </w:tabs>
        <w:rPr>
          <w:rFonts w:ascii="黑体" w:eastAsia="黑体" w:hAnsi="黑体"/>
          <w:b/>
          <w:color w:val="000000" w:themeColor="text1"/>
          <w:sz w:val="36"/>
          <w:szCs w:val="36"/>
        </w:rPr>
        <w:sectPr w:rsidR="00025DAE" w:rsidRPr="0018122A" w:rsidSect="008A5DF4">
          <w:headerReference w:type="default" r:id="rId9"/>
          <w:footerReference w:type="default" r:id="rId10"/>
          <w:pgSz w:w="11906" w:h="16838"/>
          <w:pgMar w:top="1440" w:right="1418" w:bottom="1440" w:left="1418" w:header="851" w:footer="992" w:gutter="0"/>
          <w:pgNumType w:start="1"/>
          <w:cols w:space="720"/>
          <w:docGrid w:type="lines" w:linePitch="312"/>
        </w:sectPr>
      </w:pPr>
      <w:bookmarkStart w:id="0" w:name="_GoBack"/>
      <w:bookmarkEnd w:id="0"/>
    </w:p>
    <w:p w:rsidR="00025DAE" w:rsidRPr="0018122A" w:rsidRDefault="00D935EA">
      <w:pPr>
        <w:widowControl/>
        <w:tabs>
          <w:tab w:val="left" w:pos="465"/>
          <w:tab w:val="center" w:pos="4535"/>
        </w:tabs>
        <w:jc w:val="center"/>
        <w:rPr>
          <w:rFonts w:ascii="黑体" w:eastAsia="黑体" w:hAnsi="黑体"/>
          <w:b/>
          <w:color w:val="000000" w:themeColor="text1"/>
          <w:sz w:val="36"/>
          <w:szCs w:val="36"/>
        </w:rPr>
      </w:pPr>
      <w:r>
        <w:rPr>
          <w:rFonts w:ascii="黑体" w:eastAsia="黑体" w:hAnsi="黑体" w:hint="eastAsia"/>
          <w:b/>
          <w:color w:val="000000" w:themeColor="text1"/>
          <w:sz w:val="36"/>
          <w:szCs w:val="36"/>
        </w:rPr>
        <w:t>2019年1-</w:t>
      </w:r>
      <w:r w:rsidR="00744AD0">
        <w:rPr>
          <w:rFonts w:ascii="黑体" w:eastAsia="黑体" w:hAnsi="黑体" w:hint="eastAsia"/>
          <w:b/>
          <w:color w:val="000000" w:themeColor="text1"/>
          <w:sz w:val="36"/>
          <w:szCs w:val="36"/>
        </w:rPr>
        <w:t>9</w:t>
      </w:r>
      <w:r>
        <w:rPr>
          <w:rFonts w:ascii="黑体" w:eastAsia="黑体" w:hAnsi="黑体" w:hint="eastAsia"/>
          <w:b/>
          <w:color w:val="000000" w:themeColor="text1"/>
          <w:sz w:val="36"/>
          <w:szCs w:val="36"/>
        </w:rPr>
        <w:t>月</w:t>
      </w:r>
      <w:r w:rsidR="00050986" w:rsidRPr="0018122A">
        <w:rPr>
          <w:rFonts w:ascii="黑体" w:eastAsia="黑体" w:hAnsi="黑体" w:hint="eastAsia"/>
          <w:b/>
          <w:color w:val="000000" w:themeColor="text1"/>
          <w:sz w:val="36"/>
          <w:szCs w:val="36"/>
        </w:rPr>
        <w:t>和龙法院</w:t>
      </w:r>
    </w:p>
    <w:p w:rsidR="00025DAE" w:rsidRPr="0018122A" w:rsidRDefault="00050986">
      <w:pPr>
        <w:spacing w:line="360" w:lineRule="auto"/>
        <w:jc w:val="center"/>
        <w:rPr>
          <w:rFonts w:ascii="黑体" w:eastAsia="黑体" w:hAnsi="黑体"/>
          <w:b/>
          <w:color w:val="000000" w:themeColor="text1"/>
          <w:sz w:val="36"/>
          <w:szCs w:val="36"/>
        </w:rPr>
      </w:pPr>
      <w:r w:rsidRPr="0018122A">
        <w:rPr>
          <w:rFonts w:ascii="黑体" w:eastAsia="黑体" w:hAnsi="黑体" w:hint="eastAsia"/>
          <w:b/>
          <w:color w:val="000000" w:themeColor="text1"/>
          <w:sz w:val="36"/>
          <w:szCs w:val="36"/>
        </w:rPr>
        <w:t>审判情况及态势分析</w:t>
      </w:r>
    </w:p>
    <w:p w:rsidR="00387450" w:rsidRPr="0018122A" w:rsidRDefault="00387450">
      <w:pPr>
        <w:spacing w:line="360" w:lineRule="auto"/>
        <w:jc w:val="center"/>
        <w:rPr>
          <w:rFonts w:ascii="黑体" w:eastAsia="黑体" w:hAnsi="黑体"/>
          <w:b/>
          <w:color w:val="000000" w:themeColor="text1"/>
          <w:sz w:val="36"/>
          <w:szCs w:val="36"/>
        </w:rPr>
      </w:pPr>
    </w:p>
    <w:p w:rsidR="00025DAE" w:rsidRPr="0018122A" w:rsidRDefault="00050986">
      <w:pPr>
        <w:ind w:firstLineChars="200" w:firstLine="560"/>
        <w:rPr>
          <w:rFonts w:ascii="仿宋" w:eastAsia="仿宋" w:hAnsi="仿宋"/>
          <w:color w:val="000000" w:themeColor="text1"/>
          <w:sz w:val="28"/>
          <w:szCs w:val="28"/>
        </w:rPr>
      </w:pPr>
      <w:r w:rsidRPr="0018122A">
        <w:rPr>
          <w:rFonts w:ascii="仿宋" w:eastAsia="仿宋" w:hAnsi="仿宋" w:hint="eastAsia"/>
          <w:color w:val="000000" w:themeColor="text1"/>
          <w:sz w:val="28"/>
          <w:szCs w:val="28"/>
        </w:rPr>
        <w:t>根据人民法院大数据管理和服务平台、数据集中管理平台、数字法院业务应用系统、中国裁判文书网、提取的和龙法院办案数据，我们对</w:t>
      </w:r>
      <w:r w:rsidR="00040BEA">
        <w:rPr>
          <w:rFonts w:ascii="仿宋" w:eastAsia="仿宋" w:hAnsi="仿宋" w:hint="eastAsia"/>
          <w:color w:val="000000" w:themeColor="text1"/>
          <w:sz w:val="28"/>
          <w:szCs w:val="28"/>
        </w:rPr>
        <w:t>2019年</w:t>
      </w:r>
      <w:r w:rsidR="007A6850">
        <w:rPr>
          <w:rFonts w:ascii="仿宋" w:eastAsia="仿宋" w:hAnsi="仿宋" w:hint="eastAsia"/>
          <w:color w:val="000000" w:themeColor="text1"/>
          <w:sz w:val="28"/>
          <w:szCs w:val="28"/>
        </w:rPr>
        <w:t>1月1日</w:t>
      </w:r>
      <w:r w:rsidRPr="0018122A">
        <w:rPr>
          <w:rFonts w:ascii="仿宋" w:eastAsia="仿宋" w:hAnsi="仿宋" w:hint="eastAsia"/>
          <w:color w:val="000000" w:themeColor="text1"/>
          <w:sz w:val="28"/>
          <w:szCs w:val="28"/>
        </w:rPr>
        <w:t>至</w:t>
      </w:r>
      <w:r w:rsidR="00D935EA">
        <w:rPr>
          <w:rFonts w:ascii="仿宋" w:eastAsia="仿宋" w:hAnsi="仿宋" w:hint="eastAsia"/>
          <w:color w:val="000000" w:themeColor="text1"/>
          <w:sz w:val="28"/>
          <w:szCs w:val="28"/>
        </w:rPr>
        <w:t>2019年</w:t>
      </w:r>
      <w:r w:rsidR="00744AD0">
        <w:rPr>
          <w:rFonts w:ascii="仿宋" w:eastAsia="仿宋" w:hAnsi="仿宋" w:hint="eastAsia"/>
          <w:color w:val="000000" w:themeColor="text1"/>
          <w:sz w:val="28"/>
          <w:szCs w:val="28"/>
        </w:rPr>
        <w:t>9</w:t>
      </w:r>
      <w:r w:rsidR="00D935EA">
        <w:rPr>
          <w:rFonts w:ascii="仿宋" w:eastAsia="仿宋" w:hAnsi="仿宋" w:hint="eastAsia"/>
          <w:color w:val="000000" w:themeColor="text1"/>
          <w:sz w:val="28"/>
          <w:szCs w:val="28"/>
        </w:rPr>
        <w:t>月</w:t>
      </w:r>
      <w:r w:rsidR="007739A0">
        <w:rPr>
          <w:rFonts w:ascii="仿宋" w:eastAsia="仿宋" w:hAnsi="仿宋" w:hint="eastAsia"/>
          <w:color w:val="000000" w:themeColor="text1"/>
          <w:sz w:val="28"/>
          <w:szCs w:val="28"/>
        </w:rPr>
        <w:t>3</w:t>
      </w:r>
      <w:r w:rsidR="00744AD0">
        <w:rPr>
          <w:rFonts w:ascii="仿宋" w:eastAsia="仿宋" w:hAnsi="仿宋" w:hint="eastAsia"/>
          <w:color w:val="000000" w:themeColor="text1"/>
          <w:sz w:val="28"/>
          <w:szCs w:val="28"/>
        </w:rPr>
        <w:t>0</w:t>
      </w:r>
      <w:r w:rsidR="001956CD">
        <w:rPr>
          <w:rFonts w:ascii="仿宋" w:eastAsia="仿宋" w:hAnsi="仿宋" w:hint="eastAsia"/>
          <w:color w:val="000000" w:themeColor="text1"/>
          <w:sz w:val="28"/>
          <w:szCs w:val="28"/>
        </w:rPr>
        <w:t>日</w:t>
      </w:r>
      <w:r w:rsidRPr="0018122A">
        <w:rPr>
          <w:rFonts w:ascii="仿宋" w:eastAsia="仿宋" w:hAnsi="仿宋" w:hint="eastAsia"/>
          <w:color w:val="000000" w:themeColor="text1"/>
          <w:sz w:val="28"/>
          <w:szCs w:val="28"/>
        </w:rPr>
        <w:t>，和龙法院审判执行工作情况进行了汇总分析。现通报如下：</w:t>
      </w:r>
    </w:p>
    <w:p w:rsidR="00025DAE" w:rsidRPr="0018122A" w:rsidRDefault="00050986">
      <w:pPr>
        <w:pStyle w:val="1"/>
        <w:rPr>
          <w:color w:val="000000" w:themeColor="text1"/>
        </w:rPr>
      </w:pPr>
      <w:r w:rsidRPr="0018122A">
        <w:rPr>
          <w:rFonts w:hint="eastAsia"/>
          <w:color w:val="000000" w:themeColor="text1"/>
        </w:rPr>
        <w:t xml:space="preserve">   </w:t>
      </w:r>
      <w:bookmarkStart w:id="1" w:name="_Toc511998397"/>
      <w:bookmarkStart w:id="2" w:name="_Toc512002108"/>
      <w:bookmarkStart w:id="3" w:name="_Toc512002178"/>
      <w:bookmarkStart w:id="4" w:name="_Toc25137257"/>
      <w:r w:rsidRPr="0018122A">
        <w:rPr>
          <w:rFonts w:hint="eastAsia"/>
          <w:color w:val="000000" w:themeColor="text1"/>
        </w:rPr>
        <w:t>一、</w:t>
      </w:r>
      <w:r w:rsidR="00D935EA">
        <w:rPr>
          <w:rFonts w:hint="eastAsia"/>
          <w:color w:val="000000" w:themeColor="text1"/>
        </w:rPr>
        <w:t>2019</w:t>
      </w:r>
      <w:r w:rsidR="00D935EA">
        <w:rPr>
          <w:rFonts w:hint="eastAsia"/>
          <w:color w:val="000000" w:themeColor="text1"/>
        </w:rPr>
        <w:t>年</w:t>
      </w:r>
      <w:r w:rsidR="00D935EA">
        <w:rPr>
          <w:rFonts w:hint="eastAsia"/>
          <w:color w:val="000000" w:themeColor="text1"/>
        </w:rPr>
        <w:t>1-</w:t>
      </w:r>
      <w:r w:rsidR="00744AD0">
        <w:rPr>
          <w:rFonts w:hint="eastAsia"/>
          <w:color w:val="000000" w:themeColor="text1"/>
        </w:rPr>
        <w:t>9</w:t>
      </w:r>
      <w:r w:rsidR="00D935EA">
        <w:rPr>
          <w:rFonts w:hint="eastAsia"/>
          <w:color w:val="000000" w:themeColor="text1"/>
        </w:rPr>
        <w:t>月</w:t>
      </w:r>
      <w:r w:rsidRPr="0018122A">
        <w:rPr>
          <w:rFonts w:hint="eastAsia"/>
          <w:color w:val="000000" w:themeColor="text1"/>
        </w:rPr>
        <w:t>和龙法院审判执行工作总体情况</w:t>
      </w:r>
      <w:bookmarkEnd w:id="1"/>
      <w:bookmarkEnd w:id="2"/>
      <w:bookmarkEnd w:id="3"/>
      <w:bookmarkEnd w:id="4"/>
    </w:p>
    <w:p w:rsidR="00025DAE" w:rsidRPr="0018122A" w:rsidRDefault="00040BEA">
      <w:pPr>
        <w:ind w:firstLineChars="200" w:firstLine="560"/>
        <w:rPr>
          <w:rFonts w:ascii="仿宋" w:eastAsia="仿宋" w:hAnsi="仿宋"/>
          <w:color w:val="000000" w:themeColor="text1"/>
          <w:sz w:val="28"/>
          <w:szCs w:val="28"/>
        </w:rPr>
      </w:pPr>
      <w:bookmarkStart w:id="5" w:name="_Hlk509910687"/>
      <w:r>
        <w:rPr>
          <w:rFonts w:ascii="仿宋" w:eastAsia="仿宋" w:hAnsi="仿宋" w:hint="eastAsia"/>
          <w:color w:val="000000" w:themeColor="text1"/>
          <w:sz w:val="28"/>
          <w:szCs w:val="28"/>
        </w:rPr>
        <w:t>2019年</w:t>
      </w:r>
      <w:r w:rsidR="007A6850">
        <w:rPr>
          <w:rFonts w:ascii="仿宋" w:eastAsia="仿宋" w:hAnsi="仿宋" w:hint="eastAsia"/>
          <w:color w:val="000000" w:themeColor="text1"/>
          <w:sz w:val="28"/>
          <w:szCs w:val="28"/>
        </w:rPr>
        <w:t>1-</w:t>
      </w:r>
      <w:r w:rsidR="00744AD0">
        <w:rPr>
          <w:rFonts w:ascii="仿宋" w:eastAsia="仿宋" w:hAnsi="仿宋" w:hint="eastAsia"/>
          <w:color w:val="000000" w:themeColor="text1"/>
          <w:sz w:val="28"/>
          <w:szCs w:val="28"/>
        </w:rPr>
        <w:t>9</w:t>
      </w:r>
      <w:r>
        <w:rPr>
          <w:rFonts w:ascii="仿宋" w:eastAsia="仿宋" w:hAnsi="仿宋" w:hint="eastAsia"/>
          <w:color w:val="000000" w:themeColor="text1"/>
          <w:sz w:val="28"/>
          <w:szCs w:val="28"/>
        </w:rPr>
        <w:t>月</w:t>
      </w:r>
      <w:r w:rsidR="00050986" w:rsidRPr="0018122A">
        <w:rPr>
          <w:rFonts w:ascii="仿宋" w:eastAsia="仿宋" w:hAnsi="仿宋" w:hint="eastAsia"/>
          <w:color w:val="000000" w:themeColor="text1"/>
          <w:sz w:val="28"/>
          <w:szCs w:val="28"/>
        </w:rPr>
        <w:t>和龙法院共受理各类案件</w:t>
      </w:r>
      <w:r w:rsidR="00744AD0">
        <w:rPr>
          <w:rFonts w:ascii="仿宋" w:eastAsia="仿宋" w:hAnsi="仿宋" w:hint="eastAsia"/>
          <w:color w:val="000000" w:themeColor="text1"/>
          <w:sz w:val="28"/>
          <w:szCs w:val="28"/>
        </w:rPr>
        <w:t>1924</w:t>
      </w:r>
      <w:r w:rsidR="00050986" w:rsidRPr="0018122A">
        <w:rPr>
          <w:rFonts w:ascii="仿宋" w:eastAsia="仿宋" w:hAnsi="仿宋" w:hint="eastAsia"/>
          <w:color w:val="000000" w:themeColor="text1"/>
          <w:sz w:val="28"/>
          <w:szCs w:val="28"/>
        </w:rPr>
        <w:t>件，</w:t>
      </w:r>
      <w:proofErr w:type="gramStart"/>
      <w:r w:rsidR="00050986" w:rsidRPr="0018122A">
        <w:rPr>
          <w:rFonts w:ascii="仿宋" w:eastAsia="仿宋" w:hAnsi="仿宋" w:hint="eastAsia"/>
          <w:color w:val="000000" w:themeColor="text1"/>
          <w:sz w:val="28"/>
          <w:szCs w:val="28"/>
        </w:rPr>
        <w:t>其中年转旧存</w:t>
      </w:r>
      <w:proofErr w:type="gramEnd"/>
      <w:r w:rsidR="0006679B">
        <w:rPr>
          <w:rFonts w:ascii="仿宋" w:eastAsia="仿宋" w:hAnsi="仿宋" w:hint="eastAsia"/>
          <w:color w:val="000000" w:themeColor="text1"/>
          <w:sz w:val="28"/>
          <w:szCs w:val="28"/>
        </w:rPr>
        <w:t>338</w:t>
      </w:r>
      <w:r w:rsidR="00050986" w:rsidRPr="0018122A">
        <w:rPr>
          <w:rFonts w:ascii="仿宋" w:eastAsia="仿宋" w:hAnsi="仿宋" w:hint="eastAsia"/>
          <w:color w:val="000000" w:themeColor="text1"/>
          <w:sz w:val="28"/>
          <w:szCs w:val="28"/>
        </w:rPr>
        <w:t>件，新收</w:t>
      </w:r>
      <w:r w:rsidR="00744AD0">
        <w:rPr>
          <w:rFonts w:ascii="仿宋" w:eastAsia="仿宋" w:hAnsi="仿宋" w:hint="eastAsia"/>
          <w:color w:val="000000" w:themeColor="text1"/>
          <w:sz w:val="28"/>
          <w:szCs w:val="28"/>
        </w:rPr>
        <w:t>1586</w:t>
      </w:r>
      <w:r w:rsidR="00050986" w:rsidRPr="0018122A">
        <w:rPr>
          <w:rFonts w:ascii="仿宋" w:eastAsia="仿宋" w:hAnsi="仿宋" w:hint="eastAsia"/>
          <w:color w:val="000000" w:themeColor="text1"/>
          <w:sz w:val="28"/>
          <w:szCs w:val="28"/>
        </w:rPr>
        <w:t>件，</w:t>
      </w:r>
      <w:r>
        <w:rPr>
          <w:rFonts w:ascii="仿宋" w:eastAsia="仿宋" w:hAnsi="仿宋" w:hint="eastAsia"/>
          <w:color w:val="000000" w:themeColor="text1"/>
          <w:sz w:val="28"/>
          <w:szCs w:val="28"/>
        </w:rPr>
        <w:t>2019年</w:t>
      </w:r>
      <w:r w:rsidR="007A6850">
        <w:rPr>
          <w:rFonts w:ascii="仿宋" w:eastAsia="仿宋" w:hAnsi="仿宋" w:hint="eastAsia"/>
          <w:color w:val="000000" w:themeColor="text1"/>
          <w:sz w:val="28"/>
          <w:szCs w:val="28"/>
        </w:rPr>
        <w:t>1-</w:t>
      </w:r>
      <w:r w:rsidR="00744AD0">
        <w:rPr>
          <w:rFonts w:ascii="仿宋" w:eastAsia="仿宋" w:hAnsi="仿宋" w:hint="eastAsia"/>
          <w:color w:val="000000" w:themeColor="text1"/>
          <w:sz w:val="28"/>
          <w:szCs w:val="28"/>
        </w:rPr>
        <w:t>9</w:t>
      </w:r>
      <w:r>
        <w:rPr>
          <w:rFonts w:ascii="仿宋" w:eastAsia="仿宋" w:hAnsi="仿宋" w:hint="eastAsia"/>
          <w:color w:val="000000" w:themeColor="text1"/>
          <w:sz w:val="28"/>
          <w:szCs w:val="28"/>
        </w:rPr>
        <w:t>月</w:t>
      </w:r>
      <w:r w:rsidR="00050986" w:rsidRPr="0018122A">
        <w:rPr>
          <w:rFonts w:ascii="仿宋" w:eastAsia="仿宋" w:hAnsi="仿宋" w:hint="eastAsia"/>
          <w:color w:val="000000" w:themeColor="text1"/>
          <w:sz w:val="28"/>
          <w:szCs w:val="28"/>
        </w:rPr>
        <w:t>审（执）结案</w:t>
      </w:r>
      <w:r w:rsidR="00744AD0">
        <w:rPr>
          <w:rFonts w:ascii="仿宋" w:eastAsia="仿宋" w:hAnsi="仿宋" w:hint="eastAsia"/>
          <w:color w:val="000000" w:themeColor="text1"/>
          <w:sz w:val="28"/>
          <w:szCs w:val="28"/>
        </w:rPr>
        <w:t>1592</w:t>
      </w:r>
      <w:r w:rsidR="00050986" w:rsidRPr="0018122A">
        <w:rPr>
          <w:rFonts w:ascii="仿宋" w:eastAsia="仿宋" w:hAnsi="仿宋" w:hint="eastAsia"/>
          <w:color w:val="000000" w:themeColor="text1"/>
          <w:sz w:val="28"/>
          <w:szCs w:val="28"/>
        </w:rPr>
        <w:t>件，</w:t>
      </w:r>
      <w:r>
        <w:rPr>
          <w:rFonts w:ascii="仿宋" w:eastAsia="仿宋" w:hAnsi="仿宋" w:hint="eastAsia"/>
          <w:color w:val="000000" w:themeColor="text1"/>
          <w:sz w:val="28"/>
          <w:szCs w:val="28"/>
        </w:rPr>
        <w:t>2019年</w:t>
      </w:r>
      <w:r w:rsidR="007A6850">
        <w:rPr>
          <w:rFonts w:ascii="仿宋" w:eastAsia="仿宋" w:hAnsi="仿宋" w:hint="eastAsia"/>
          <w:color w:val="000000" w:themeColor="text1"/>
          <w:sz w:val="28"/>
          <w:szCs w:val="28"/>
        </w:rPr>
        <w:t>1-</w:t>
      </w:r>
      <w:r w:rsidR="00744AD0">
        <w:rPr>
          <w:rFonts w:ascii="仿宋" w:eastAsia="仿宋" w:hAnsi="仿宋" w:hint="eastAsia"/>
          <w:color w:val="000000" w:themeColor="text1"/>
          <w:sz w:val="28"/>
          <w:szCs w:val="28"/>
        </w:rPr>
        <w:t>9</w:t>
      </w:r>
      <w:r>
        <w:rPr>
          <w:rFonts w:ascii="仿宋" w:eastAsia="仿宋" w:hAnsi="仿宋" w:hint="eastAsia"/>
          <w:color w:val="000000" w:themeColor="text1"/>
          <w:sz w:val="28"/>
          <w:szCs w:val="28"/>
        </w:rPr>
        <w:t>月</w:t>
      </w:r>
      <w:r w:rsidR="00050986" w:rsidRPr="0018122A">
        <w:rPr>
          <w:rFonts w:ascii="仿宋" w:eastAsia="仿宋" w:hAnsi="仿宋" w:hint="eastAsia"/>
          <w:color w:val="000000" w:themeColor="text1"/>
          <w:sz w:val="28"/>
          <w:szCs w:val="28"/>
        </w:rPr>
        <w:t>结案率</w:t>
      </w:r>
      <w:r w:rsidR="00744AD0">
        <w:rPr>
          <w:rFonts w:ascii="仿宋" w:eastAsia="仿宋" w:hAnsi="仿宋" w:hint="eastAsia"/>
          <w:color w:val="000000" w:themeColor="text1"/>
          <w:sz w:val="28"/>
          <w:szCs w:val="28"/>
        </w:rPr>
        <w:t>82.74</w:t>
      </w:r>
      <w:r w:rsidR="00050986" w:rsidRPr="0018122A">
        <w:rPr>
          <w:rFonts w:ascii="仿宋" w:eastAsia="仿宋" w:hAnsi="仿宋" w:hint="eastAsia"/>
          <w:color w:val="000000" w:themeColor="text1"/>
          <w:sz w:val="28"/>
          <w:szCs w:val="28"/>
        </w:rPr>
        <w:t>%，截至</w:t>
      </w:r>
      <w:r w:rsidR="00D935EA">
        <w:rPr>
          <w:rFonts w:ascii="仿宋" w:eastAsia="仿宋" w:hAnsi="仿宋" w:hint="eastAsia"/>
          <w:color w:val="000000" w:themeColor="text1"/>
          <w:sz w:val="28"/>
          <w:szCs w:val="28"/>
        </w:rPr>
        <w:t>2019年</w:t>
      </w:r>
      <w:r w:rsidR="00744AD0">
        <w:rPr>
          <w:rFonts w:ascii="仿宋" w:eastAsia="仿宋" w:hAnsi="仿宋" w:hint="eastAsia"/>
          <w:color w:val="000000" w:themeColor="text1"/>
          <w:sz w:val="28"/>
          <w:szCs w:val="28"/>
        </w:rPr>
        <w:t>9</w:t>
      </w:r>
      <w:r w:rsidR="00D935EA">
        <w:rPr>
          <w:rFonts w:ascii="仿宋" w:eastAsia="仿宋" w:hAnsi="仿宋" w:hint="eastAsia"/>
          <w:color w:val="000000" w:themeColor="text1"/>
          <w:sz w:val="28"/>
          <w:szCs w:val="28"/>
        </w:rPr>
        <w:t>月</w:t>
      </w:r>
      <w:r w:rsidR="00B71566">
        <w:rPr>
          <w:rFonts w:ascii="仿宋" w:eastAsia="仿宋" w:hAnsi="仿宋" w:hint="eastAsia"/>
          <w:color w:val="000000" w:themeColor="text1"/>
          <w:sz w:val="28"/>
          <w:szCs w:val="28"/>
        </w:rPr>
        <w:t>3</w:t>
      </w:r>
      <w:r w:rsidR="00744AD0">
        <w:rPr>
          <w:rFonts w:ascii="仿宋" w:eastAsia="仿宋" w:hAnsi="仿宋" w:hint="eastAsia"/>
          <w:color w:val="000000" w:themeColor="text1"/>
          <w:sz w:val="28"/>
          <w:szCs w:val="28"/>
        </w:rPr>
        <w:t>0</w:t>
      </w:r>
      <w:r w:rsidR="001956CD">
        <w:rPr>
          <w:rFonts w:ascii="仿宋" w:eastAsia="仿宋" w:hAnsi="仿宋" w:hint="eastAsia"/>
          <w:color w:val="000000" w:themeColor="text1"/>
          <w:sz w:val="28"/>
          <w:szCs w:val="28"/>
        </w:rPr>
        <w:t>日</w:t>
      </w:r>
      <w:r w:rsidR="00050986" w:rsidRPr="0018122A">
        <w:rPr>
          <w:rFonts w:ascii="仿宋" w:eastAsia="仿宋" w:hAnsi="仿宋" w:hint="eastAsia"/>
          <w:color w:val="000000" w:themeColor="text1"/>
          <w:sz w:val="28"/>
          <w:szCs w:val="28"/>
        </w:rPr>
        <w:t>，未结案件</w:t>
      </w:r>
      <w:r w:rsidR="00744AD0">
        <w:rPr>
          <w:rFonts w:ascii="仿宋" w:eastAsia="仿宋" w:hAnsi="仿宋" w:hint="eastAsia"/>
          <w:color w:val="000000" w:themeColor="text1"/>
          <w:sz w:val="28"/>
          <w:szCs w:val="28"/>
        </w:rPr>
        <w:t>332</w:t>
      </w:r>
      <w:r w:rsidR="00050986" w:rsidRPr="0018122A">
        <w:rPr>
          <w:rFonts w:ascii="仿宋" w:eastAsia="仿宋" w:hAnsi="仿宋" w:hint="eastAsia"/>
          <w:color w:val="000000" w:themeColor="text1"/>
          <w:sz w:val="28"/>
          <w:szCs w:val="28"/>
        </w:rPr>
        <w:t>件。</w:t>
      </w:r>
    </w:p>
    <w:p w:rsidR="00040BEA" w:rsidRDefault="00040BEA" w:rsidP="00B47BB1">
      <w:pPr>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2019年</w:t>
      </w:r>
      <w:r w:rsidR="007A6850">
        <w:rPr>
          <w:rFonts w:ascii="仿宋" w:eastAsia="仿宋" w:hAnsi="仿宋" w:hint="eastAsia"/>
          <w:color w:val="000000" w:themeColor="text1"/>
          <w:sz w:val="28"/>
          <w:szCs w:val="28"/>
        </w:rPr>
        <w:t>1-</w:t>
      </w:r>
      <w:r w:rsidR="00744AD0">
        <w:rPr>
          <w:rFonts w:ascii="仿宋" w:eastAsia="仿宋" w:hAnsi="仿宋" w:hint="eastAsia"/>
          <w:color w:val="000000" w:themeColor="text1"/>
          <w:sz w:val="28"/>
          <w:szCs w:val="28"/>
        </w:rPr>
        <w:t>9</w:t>
      </w:r>
      <w:r>
        <w:rPr>
          <w:rFonts w:ascii="仿宋" w:eastAsia="仿宋" w:hAnsi="仿宋" w:hint="eastAsia"/>
          <w:color w:val="000000" w:themeColor="text1"/>
          <w:sz w:val="28"/>
          <w:szCs w:val="28"/>
        </w:rPr>
        <w:t>月</w:t>
      </w:r>
      <w:r w:rsidR="00050986" w:rsidRPr="0018122A">
        <w:rPr>
          <w:rFonts w:ascii="仿宋" w:eastAsia="仿宋" w:hAnsi="仿宋" w:hint="eastAsia"/>
          <w:color w:val="000000" w:themeColor="text1"/>
          <w:sz w:val="28"/>
          <w:szCs w:val="28"/>
        </w:rPr>
        <w:t>与去年同期相比，旧存增加</w:t>
      </w:r>
      <w:r w:rsidR="00BB3BA8">
        <w:rPr>
          <w:rFonts w:ascii="仿宋" w:eastAsia="仿宋" w:hAnsi="仿宋" w:hint="eastAsia"/>
          <w:color w:val="000000" w:themeColor="text1"/>
          <w:sz w:val="28"/>
          <w:szCs w:val="28"/>
        </w:rPr>
        <w:t>77</w:t>
      </w:r>
      <w:r w:rsidR="00050986" w:rsidRPr="0018122A">
        <w:rPr>
          <w:rFonts w:ascii="仿宋" w:eastAsia="仿宋" w:hAnsi="仿宋" w:hint="eastAsia"/>
          <w:color w:val="000000" w:themeColor="text1"/>
          <w:sz w:val="28"/>
          <w:szCs w:val="28"/>
        </w:rPr>
        <w:t>件，上升</w:t>
      </w:r>
      <w:r w:rsidR="00904379" w:rsidRPr="0018122A">
        <w:rPr>
          <w:rFonts w:ascii="仿宋" w:eastAsia="仿宋" w:hAnsi="仿宋" w:hint="eastAsia"/>
          <w:color w:val="000000" w:themeColor="text1"/>
          <w:sz w:val="28"/>
          <w:szCs w:val="28"/>
        </w:rPr>
        <w:t>29.50</w:t>
      </w:r>
      <w:r w:rsidR="00050986" w:rsidRPr="0018122A">
        <w:rPr>
          <w:rFonts w:ascii="仿宋" w:eastAsia="仿宋" w:hAnsi="仿宋" w:hint="eastAsia"/>
          <w:color w:val="000000" w:themeColor="text1"/>
          <w:sz w:val="28"/>
          <w:szCs w:val="28"/>
        </w:rPr>
        <w:t>%，新收</w:t>
      </w:r>
      <w:r w:rsidR="00B71566">
        <w:rPr>
          <w:rFonts w:ascii="仿宋" w:eastAsia="仿宋" w:hAnsi="仿宋" w:hint="eastAsia"/>
          <w:color w:val="000000" w:themeColor="text1"/>
          <w:sz w:val="28"/>
          <w:szCs w:val="28"/>
        </w:rPr>
        <w:t>增加</w:t>
      </w:r>
      <w:r w:rsidR="00744AD0">
        <w:rPr>
          <w:rFonts w:ascii="仿宋" w:eastAsia="仿宋" w:hAnsi="仿宋" w:hint="eastAsia"/>
          <w:color w:val="000000" w:themeColor="text1"/>
          <w:sz w:val="28"/>
          <w:szCs w:val="28"/>
        </w:rPr>
        <w:t>121</w:t>
      </w:r>
      <w:r w:rsidR="00050986" w:rsidRPr="0018122A">
        <w:rPr>
          <w:rFonts w:ascii="仿宋" w:eastAsia="仿宋" w:hAnsi="仿宋" w:hint="eastAsia"/>
          <w:color w:val="000000" w:themeColor="text1"/>
          <w:sz w:val="28"/>
          <w:szCs w:val="28"/>
        </w:rPr>
        <w:t>件，</w:t>
      </w:r>
      <w:r w:rsidR="00B71566">
        <w:rPr>
          <w:rFonts w:ascii="仿宋" w:eastAsia="仿宋" w:hAnsi="仿宋" w:hint="eastAsia"/>
          <w:color w:val="000000" w:themeColor="text1"/>
          <w:sz w:val="28"/>
          <w:szCs w:val="28"/>
        </w:rPr>
        <w:t>上升</w:t>
      </w:r>
      <w:r w:rsidR="00744AD0">
        <w:rPr>
          <w:rFonts w:ascii="仿宋" w:eastAsia="仿宋" w:hAnsi="仿宋" w:hint="eastAsia"/>
          <w:color w:val="000000" w:themeColor="text1"/>
          <w:sz w:val="28"/>
          <w:szCs w:val="28"/>
        </w:rPr>
        <w:t>8.26</w:t>
      </w:r>
      <w:r w:rsidR="00050986" w:rsidRPr="0018122A">
        <w:rPr>
          <w:rFonts w:ascii="仿宋" w:eastAsia="仿宋" w:hAnsi="仿宋" w:hint="eastAsia"/>
          <w:color w:val="000000" w:themeColor="text1"/>
          <w:sz w:val="28"/>
          <w:szCs w:val="28"/>
        </w:rPr>
        <w:t>%；旧存加新收合计</w:t>
      </w:r>
      <w:r w:rsidR="00904379" w:rsidRPr="0018122A">
        <w:rPr>
          <w:rFonts w:ascii="仿宋" w:eastAsia="仿宋" w:hAnsi="仿宋" w:hint="eastAsia"/>
          <w:color w:val="000000" w:themeColor="text1"/>
          <w:sz w:val="28"/>
          <w:szCs w:val="28"/>
        </w:rPr>
        <w:t>增加</w:t>
      </w:r>
      <w:r w:rsidR="00744AD0">
        <w:rPr>
          <w:rFonts w:ascii="仿宋" w:eastAsia="仿宋" w:hAnsi="仿宋" w:hint="eastAsia"/>
          <w:color w:val="000000" w:themeColor="text1"/>
          <w:sz w:val="28"/>
          <w:szCs w:val="28"/>
        </w:rPr>
        <w:t>198</w:t>
      </w:r>
      <w:r w:rsidR="00050986" w:rsidRPr="0018122A">
        <w:rPr>
          <w:rFonts w:ascii="仿宋" w:eastAsia="仿宋" w:hAnsi="仿宋" w:hint="eastAsia"/>
          <w:color w:val="000000" w:themeColor="text1"/>
          <w:sz w:val="28"/>
          <w:szCs w:val="28"/>
        </w:rPr>
        <w:t>件，</w:t>
      </w:r>
      <w:r w:rsidR="00904379" w:rsidRPr="0018122A">
        <w:rPr>
          <w:rFonts w:ascii="仿宋" w:eastAsia="仿宋" w:hAnsi="仿宋" w:hint="eastAsia"/>
          <w:color w:val="000000" w:themeColor="text1"/>
          <w:sz w:val="28"/>
          <w:szCs w:val="28"/>
        </w:rPr>
        <w:t>上升</w:t>
      </w:r>
      <w:r w:rsidR="00B47BB1">
        <w:rPr>
          <w:rFonts w:ascii="仿宋" w:eastAsia="仿宋" w:hAnsi="仿宋" w:hint="eastAsia"/>
          <w:color w:val="000000" w:themeColor="text1"/>
          <w:sz w:val="28"/>
          <w:szCs w:val="28"/>
        </w:rPr>
        <w:t>11.</w:t>
      </w:r>
      <w:r w:rsidR="00744AD0">
        <w:rPr>
          <w:rFonts w:ascii="仿宋" w:eastAsia="仿宋" w:hAnsi="仿宋" w:hint="eastAsia"/>
          <w:color w:val="000000" w:themeColor="text1"/>
          <w:sz w:val="28"/>
          <w:szCs w:val="28"/>
        </w:rPr>
        <w:t>47</w:t>
      </w:r>
      <w:r w:rsidR="00050986" w:rsidRPr="0018122A">
        <w:rPr>
          <w:rFonts w:ascii="仿宋" w:eastAsia="仿宋" w:hAnsi="仿宋" w:hint="eastAsia"/>
          <w:color w:val="000000" w:themeColor="text1"/>
          <w:sz w:val="28"/>
          <w:szCs w:val="28"/>
        </w:rPr>
        <w:t>%；结案</w:t>
      </w:r>
      <w:r w:rsidR="00883A71" w:rsidRPr="0018122A">
        <w:rPr>
          <w:rFonts w:ascii="仿宋" w:eastAsia="仿宋" w:hAnsi="仿宋" w:hint="eastAsia"/>
          <w:color w:val="000000" w:themeColor="text1"/>
          <w:sz w:val="28"/>
          <w:szCs w:val="28"/>
        </w:rPr>
        <w:t>增加</w:t>
      </w:r>
      <w:r w:rsidR="00744AD0">
        <w:rPr>
          <w:rFonts w:ascii="仿宋" w:eastAsia="仿宋" w:hAnsi="仿宋" w:hint="eastAsia"/>
          <w:color w:val="000000" w:themeColor="text1"/>
          <w:sz w:val="28"/>
          <w:szCs w:val="28"/>
        </w:rPr>
        <w:t>247</w:t>
      </w:r>
      <w:r w:rsidR="00050986" w:rsidRPr="0018122A">
        <w:rPr>
          <w:rFonts w:ascii="仿宋" w:eastAsia="仿宋" w:hAnsi="仿宋" w:hint="eastAsia"/>
          <w:color w:val="000000" w:themeColor="text1"/>
          <w:sz w:val="28"/>
          <w:szCs w:val="28"/>
        </w:rPr>
        <w:t>件，</w:t>
      </w:r>
      <w:r w:rsidR="00CA30E2" w:rsidRPr="0018122A">
        <w:rPr>
          <w:rFonts w:ascii="仿宋" w:eastAsia="仿宋" w:hAnsi="仿宋" w:hint="eastAsia"/>
          <w:color w:val="000000" w:themeColor="text1"/>
          <w:sz w:val="28"/>
          <w:szCs w:val="28"/>
        </w:rPr>
        <w:t>上升</w:t>
      </w:r>
      <w:r w:rsidR="00744AD0">
        <w:rPr>
          <w:rFonts w:ascii="仿宋" w:eastAsia="仿宋" w:hAnsi="仿宋" w:hint="eastAsia"/>
          <w:color w:val="000000" w:themeColor="text1"/>
          <w:sz w:val="28"/>
          <w:szCs w:val="28"/>
        </w:rPr>
        <w:t>18.36</w:t>
      </w:r>
      <w:r w:rsidR="00050986" w:rsidRPr="0018122A">
        <w:rPr>
          <w:rFonts w:ascii="仿宋" w:eastAsia="仿宋" w:hAnsi="仿宋" w:hint="eastAsia"/>
          <w:color w:val="000000" w:themeColor="text1"/>
          <w:sz w:val="28"/>
          <w:szCs w:val="28"/>
        </w:rPr>
        <w:t>%；未结案件</w:t>
      </w:r>
      <w:r w:rsidR="007739A0">
        <w:rPr>
          <w:rFonts w:ascii="仿宋" w:eastAsia="仿宋" w:hAnsi="仿宋" w:hint="eastAsia"/>
          <w:color w:val="000000" w:themeColor="text1"/>
          <w:sz w:val="28"/>
          <w:szCs w:val="28"/>
        </w:rPr>
        <w:t>减少</w:t>
      </w:r>
      <w:r w:rsidR="00744AD0">
        <w:rPr>
          <w:rFonts w:ascii="仿宋" w:eastAsia="仿宋" w:hAnsi="仿宋" w:hint="eastAsia"/>
          <w:color w:val="000000" w:themeColor="text1"/>
          <w:sz w:val="28"/>
          <w:szCs w:val="28"/>
        </w:rPr>
        <w:t>49</w:t>
      </w:r>
      <w:r w:rsidR="006F3C68" w:rsidRPr="0018122A">
        <w:rPr>
          <w:rFonts w:ascii="仿宋" w:eastAsia="仿宋" w:hAnsi="仿宋" w:hint="eastAsia"/>
          <w:color w:val="000000" w:themeColor="text1"/>
          <w:sz w:val="28"/>
          <w:szCs w:val="28"/>
        </w:rPr>
        <w:t>件</w:t>
      </w:r>
      <w:r w:rsidR="00050986" w:rsidRPr="0018122A">
        <w:rPr>
          <w:rFonts w:ascii="仿宋" w:eastAsia="仿宋" w:hAnsi="仿宋" w:hint="eastAsia"/>
          <w:color w:val="000000" w:themeColor="text1"/>
          <w:sz w:val="28"/>
          <w:szCs w:val="28"/>
        </w:rPr>
        <w:t>，</w:t>
      </w:r>
      <w:r w:rsidR="007739A0">
        <w:rPr>
          <w:rFonts w:ascii="仿宋" w:eastAsia="仿宋" w:hAnsi="仿宋" w:hint="eastAsia"/>
          <w:color w:val="000000" w:themeColor="text1"/>
          <w:sz w:val="28"/>
          <w:szCs w:val="28"/>
        </w:rPr>
        <w:t>下降</w:t>
      </w:r>
      <w:r w:rsidR="00744AD0">
        <w:rPr>
          <w:rFonts w:ascii="仿宋" w:eastAsia="仿宋" w:hAnsi="仿宋" w:hint="eastAsia"/>
          <w:color w:val="000000" w:themeColor="text1"/>
          <w:sz w:val="28"/>
          <w:szCs w:val="28"/>
        </w:rPr>
        <w:t>12.86</w:t>
      </w:r>
      <w:r w:rsidR="00050986" w:rsidRPr="0018122A">
        <w:rPr>
          <w:rFonts w:ascii="仿宋" w:eastAsia="仿宋" w:hAnsi="仿宋" w:hint="eastAsia"/>
          <w:color w:val="000000" w:themeColor="text1"/>
          <w:sz w:val="28"/>
          <w:szCs w:val="28"/>
        </w:rPr>
        <w:t>%。</w:t>
      </w:r>
    </w:p>
    <w:p w:rsidR="00040BEA" w:rsidRPr="00040BEA" w:rsidRDefault="00040BEA" w:rsidP="00040BEA">
      <w:pPr>
        <w:rPr>
          <w:rFonts w:ascii="仿宋" w:eastAsia="仿宋" w:hAnsi="仿宋"/>
          <w:sz w:val="28"/>
          <w:szCs w:val="28"/>
        </w:rPr>
      </w:pPr>
    </w:p>
    <w:p w:rsidR="00040BEA" w:rsidRPr="00040BEA" w:rsidRDefault="00040BEA" w:rsidP="00040BEA">
      <w:pPr>
        <w:rPr>
          <w:rFonts w:ascii="仿宋" w:eastAsia="仿宋" w:hAnsi="仿宋"/>
          <w:sz w:val="28"/>
          <w:szCs w:val="28"/>
        </w:rPr>
      </w:pPr>
    </w:p>
    <w:p w:rsidR="00040BEA" w:rsidRPr="00040BEA" w:rsidRDefault="00040BEA" w:rsidP="00040BEA">
      <w:pPr>
        <w:tabs>
          <w:tab w:val="left" w:pos="7415"/>
        </w:tabs>
        <w:rPr>
          <w:rFonts w:ascii="仿宋" w:eastAsia="仿宋" w:hAnsi="仿宋"/>
          <w:sz w:val="28"/>
          <w:szCs w:val="28"/>
        </w:rPr>
      </w:pPr>
      <w:r>
        <w:rPr>
          <w:rFonts w:ascii="仿宋" w:eastAsia="仿宋" w:hAnsi="仿宋"/>
          <w:sz w:val="28"/>
          <w:szCs w:val="28"/>
        </w:rPr>
        <w:tab/>
      </w:r>
    </w:p>
    <w:p w:rsidR="00025DAE" w:rsidRPr="00040BEA" w:rsidRDefault="00025DAE" w:rsidP="00040BEA">
      <w:pPr>
        <w:rPr>
          <w:rFonts w:ascii="仿宋" w:eastAsia="仿宋" w:hAnsi="仿宋"/>
          <w:sz w:val="28"/>
          <w:szCs w:val="28"/>
        </w:rPr>
      </w:pPr>
    </w:p>
    <w:p w:rsidR="00025DAE" w:rsidRPr="0018122A" w:rsidRDefault="00050986">
      <w:pPr>
        <w:spacing w:line="360" w:lineRule="auto"/>
        <w:rPr>
          <w:rFonts w:ascii="仿宋" w:eastAsia="仿宋" w:hAnsi="仿宋"/>
          <w:color w:val="000000" w:themeColor="text1"/>
          <w:sz w:val="28"/>
          <w:szCs w:val="28"/>
        </w:rPr>
      </w:pPr>
      <w:r w:rsidRPr="0018122A">
        <w:rPr>
          <w:rFonts w:ascii="仿宋" w:eastAsia="仿宋" w:hAnsi="仿宋" w:hint="eastAsia"/>
          <w:noProof/>
          <w:color w:val="000000" w:themeColor="text1"/>
          <w:sz w:val="28"/>
          <w:szCs w:val="28"/>
        </w:rPr>
        <w:drawing>
          <wp:inline distT="0" distB="0" distL="0" distR="0">
            <wp:extent cx="5734050" cy="3200400"/>
            <wp:effectExtent l="19050" t="0" r="190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bookmarkEnd w:id="5"/>
    <w:p w:rsidR="00025DAE" w:rsidRPr="0018122A" w:rsidRDefault="00D935EA">
      <w:pPr>
        <w:spacing w:line="360" w:lineRule="auto"/>
        <w:jc w:val="center"/>
        <w:rPr>
          <w:rFonts w:ascii="宋体" w:hAnsi="宋体"/>
          <w:b/>
          <w:color w:val="000000" w:themeColor="text1"/>
          <w:sz w:val="28"/>
          <w:szCs w:val="28"/>
        </w:rPr>
      </w:pPr>
      <w:r>
        <w:rPr>
          <w:rFonts w:ascii="宋体" w:hAnsi="宋体"/>
          <w:b/>
          <w:color w:val="000000" w:themeColor="text1"/>
          <w:sz w:val="28"/>
          <w:szCs w:val="28"/>
        </w:rPr>
        <w:t>2019年1-</w:t>
      </w:r>
      <w:r w:rsidR="00772968">
        <w:rPr>
          <w:rFonts w:ascii="宋体" w:hAnsi="宋体" w:hint="eastAsia"/>
          <w:b/>
          <w:color w:val="000000" w:themeColor="text1"/>
          <w:sz w:val="28"/>
          <w:szCs w:val="28"/>
        </w:rPr>
        <w:t>9</w:t>
      </w:r>
      <w:r>
        <w:rPr>
          <w:rFonts w:ascii="宋体" w:hAnsi="宋体"/>
          <w:b/>
          <w:color w:val="000000" w:themeColor="text1"/>
          <w:sz w:val="28"/>
          <w:szCs w:val="28"/>
        </w:rPr>
        <w:t>月</w:t>
      </w:r>
      <w:r w:rsidR="00050986" w:rsidRPr="0018122A">
        <w:rPr>
          <w:rFonts w:ascii="宋体" w:hAnsi="宋体" w:hint="eastAsia"/>
          <w:b/>
          <w:color w:val="000000" w:themeColor="text1"/>
          <w:sz w:val="28"/>
          <w:szCs w:val="28"/>
        </w:rPr>
        <w:t>和龙法院结案率同比差值统计表</w:t>
      </w:r>
    </w:p>
    <w:bookmarkStart w:id="6" w:name="_MON_1629178570"/>
    <w:bookmarkEnd w:id="6"/>
    <w:p w:rsidR="005E5422" w:rsidRPr="005B5F10" w:rsidRDefault="00772968">
      <w:pPr>
        <w:spacing w:line="360" w:lineRule="auto"/>
        <w:jc w:val="center"/>
        <w:rPr>
          <w:rFonts w:ascii="宋体" w:hAnsi="宋体" w:cs="宋体"/>
          <w:color w:val="000000" w:themeColor="text1"/>
          <w:kern w:val="0"/>
          <w:sz w:val="24"/>
        </w:rPr>
      </w:pPr>
      <w:r w:rsidRPr="006B7003">
        <w:rPr>
          <w:rFonts w:ascii="宋体" w:hAnsi="宋体" w:cs="宋体"/>
          <w:color w:val="000000" w:themeColor="text1"/>
          <w:kern w:val="0"/>
          <w:sz w:val="24"/>
        </w:rPr>
        <w:object w:dxaOrig="7961" w:dyaOrig="2433">
          <v:shape id="_x0000_i1025" type="#_x0000_t75" style="width:457.3pt;height:118.7pt" o:ole="">
            <v:imagedata r:id="rId12" o:title=""/>
          </v:shape>
          <o:OLEObject Type="Embed" ProgID="Excel.Sheet.12" ShapeID="_x0000_i1025" DrawAspect="Content" ObjectID="_1635750005" r:id="rId13"/>
        </w:object>
      </w:r>
    </w:p>
    <w:p w:rsidR="00025DAE" w:rsidRPr="0018122A" w:rsidRDefault="00050986">
      <w:pPr>
        <w:spacing w:line="360" w:lineRule="auto"/>
        <w:rPr>
          <w:rFonts w:ascii="仿宋" w:eastAsia="仿宋" w:hAnsi="仿宋"/>
          <w:color w:val="000000" w:themeColor="text1"/>
          <w:sz w:val="28"/>
          <w:szCs w:val="28"/>
        </w:rPr>
      </w:pPr>
      <w:r w:rsidRPr="0018122A">
        <w:rPr>
          <w:rFonts w:ascii="仿宋" w:eastAsia="仿宋" w:hAnsi="仿宋" w:hint="eastAsia"/>
          <w:color w:val="000000" w:themeColor="text1"/>
          <w:sz w:val="28"/>
          <w:szCs w:val="28"/>
        </w:rPr>
        <w:t xml:space="preserve">    </w:t>
      </w:r>
      <w:r w:rsidR="00D935EA" w:rsidRPr="00E841CA">
        <w:rPr>
          <w:rFonts w:ascii="仿宋" w:eastAsia="仿宋" w:hAnsi="仿宋" w:hint="eastAsia"/>
          <w:color w:val="000000" w:themeColor="text1"/>
          <w:sz w:val="28"/>
          <w:szCs w:val="28"/>
        </w:rPr>
        <w:t>2019年1-</w:t>
      </w:r>
      <w:r w:rsidR="00772968">
        <w:rPr>
          <w:rFonts w:ascii="仿宋" w:eastAsia="仿宋" w:hAnsi="仿宋" w:hint="eastAsia"/>
          <w:color w:val="000000" w:themeColor="text1"/>
          <w:sz w:val="28"/>
          <w:szCs w:val="28"/>
        </w:rPr>
        <w:t>9</w:t>
      </w:r>
      <w:r w:rsidR="00D935EA" w:rsidRPr="00E841CA">
        <w:rPr>
          <w:rFonts w:ascii="仿宋" w:eastAsia="仿宋" w:hAnsi="仿宋" w:hint="eastAsia"/>
          <w:color w:val="000000" w:themeColor="text1"/>
          <w:sz w:val="28"/>
          <w:szCs w:val="28"/>
        </w:rPr>
        <w:t>月</w:t>
      </w:r>
      <w:r w:rsidR="00982312" w:rsidRPr="00E841CA">
        <w:rPr>
          <w:rFonts w:ascii="仿宋" w:eastAsia="仿宋" w:hAnsi="仿宋" w:hint="eastAsia"/>
          <w:color w:val="000000" w:themeColor="text1"/>
          <w:sz w:val="28"/>
          <w:szCs w:val="28"/>
        </w:rPr>
        <w:t>和龙法院人均受理案</w:t>
      </w:r>
      <w:r w:rsidR="00595D8F" w:rsidRPr="00E841CA">
        <w:rPr>
          <w:rFonts w:ascii="仿宋" w:eastAsia="仿宋" w:hAnsi="仿宋" w:hint="eastAsia"/>
          <w:color w:val="000000" w:themeColor="text1"/>
          <w:sz w:val="28"/>
          <w:szCs w:val="28"/>
        </w:rPr>
        <w:t>件</w:t>
      </w:r>
      <w:r w:rsidR="006D6E18">
        <w:rPr>
          <w:rFonts w:ascii="仿宋" w:eastAsia="仿宋" w:hAnsi="仿宋" w:hint="eastAsia"/>
          <w:color w:val="000000" w:themeColor="text1"/>
          <w:sz w:val="28"/>
          <w:szCs w:val="28"/>
        </w:rPr>
        <w:t>96.2</w:t>
      </w:r>
      <w:r w:rsidRPr="00E841CA">
        <w:rPr>
          <w:rFonts w:ascii="仿宋" w:eastAsia="仿宋" w:hAnsi="仿宋" w:hint="eastAsia"/>
          <w:color w:val="000000" w:themeColor="text1"/>
          <w:sz w:val="28"/>
          <w:szCs w:val="28"/>
        </w:rPr>
        <w:t>件，</w:t>
      </w:r>
      <w:r w:rsidRPr="00C95DC1">
        <w:rPr>
          <w:rFonts w:ascii="仿宋" w:eastAsia="仿宋" w:hAnsi="仿宋" w:hint="eastAsia"/>
          <w:color w:val="000000" w:themeColor="text1"/>
          <w:sz w:val="28"/>
          <w:szCs w:val="28"/>
        </w:rPr>
        <w:t>同比</w:t>
      </w:r>
      <w:r w:rsidR="001C7C85" w:rsidRPr="00C95DC1">
        <w:rPr>
          <w:rFonts w:ascii="仿宋" w:eastAsia="仿宋" w:hAnsi="仿宋" w:hint="eastAsia"/>
          <w:color w:val="000000" w:themeColor="text1"/>
          <w:sz w:val="28"/>
          <w:szCs w:val="28"/>
        </w:rPr>
        <w:t>上升</w:t>
      </w:r>
      <w:r w:rsidR="006D6E18">
        <w:rPr>
          <w:rFonts w:ascii="仿宋" w:eastAsia="仿宋" w:hAnsi="仿宋" w:hint="eastAsia"/>
          <w:color w:val="000000" w:themeColor="text1"/>
          <w:sz w:val="28"/>
          <w:szCs w:val="28"/>
        </w:rPr>
        <w:t>5.36</w:t>
      </w:r>
      <w:r w:rsidRPr="00C95DC1">
        <w:rPr>
          <w:rFonts w:ascii="仿宋" w:eastAsia="仿宋" w:hAnsi="仿宋" w:hint="eastAsia"/>
          <w:color w:val="000000" w:themeColor="text1"/>
          <w:sz w:val="28"/>
          <w:szCs w:val="28"/>
        </w:rPr>
        <w:t>件，</w:t>
      </w:r>
      <w:r w:rsidR="001C7C85" w:rsidRPr="00C95DC1">
        <w:rPr>
          <w:rFonts w:ascii="仿宋" w:eastAsia="仿宋" w:hAnsi="仿宋" w:hint="eastAsia"/>
          <w:color w:val="000000" w:themeColor="text1"/>
          <w:sz w:val="28"/>
          <w:szCs w:val="28"/>
        </w:rPr>
        <w:t>上升</w:t>
      </w:r>
      <w:r w:rsidR="006D6E18">
        <w:rPr>
          <w:rFonts w:ascii="仿宋" w:eastAsia="仿宋" w:hAnsi="仿宋" w:hint="eastAsia"/>
          <w:color w:val="000000" w:themeColor="text1"/>
          <w:sz w:val="28"/>
          <w:szCs w:val="28"/>
        </w:rPr>
        <w:t>5.90</w:t>
      </w:r>
      <w:r w:rsidRPr="00C95DC1">
        <w:rPr>
          <w:rFonts w:ascii="仿宋" w:eastAsia="仿宋" w:hAnsi="仿宋" w:hint="eastAsia"/>
          <w:color w:val="000000" w:themeColor="text1"/>
          <w:sz w:val="28"/>
          <w:szCs w:val="28"/>
        </w:rPr>
        <w:t>%</w:t>
      </w:r>
      <w:r w:rsidR="0091543B" w:rsidRPr="00C95DC1">
        <w:rPr>
          <w:rFonts w:ascii="仿宋" w:eastAsia="仿宋" w:hAnsi="仿宋" w:hint="eastAsia"/>
          <w:color w:val="000000" w:themeColor="text1"/>
          <w:sz w:val="28"/>
          <w:szCs w:val="28"/>
        </w:rPr>
        <w:t>；</w:t>
      </w:r>
      <w:r w:rsidR="00DA4BF4" w:rsidRPr="00C95DC1">
        <w:rPr>
          <w:rFonts w:ascii="仿宋" w:eastAsia="仿宋" w:hAnsi="仿宋" w:hint="eastAsia"/>
          <w:color w:val="000000" w:themeColor="text1"/>
          <w:sz w:val="28"/>
          <w:szCs w:val="28"/>
        </w:rPr>
        <w:t>人均结案</w:t>
      </w:r>
      <w:r w:rsidR="006D6E18">
        <w:rPr>
          <w:rFonts w:ascii="仿宋" w:eastAsia="仿宋" w:hAnsi="仿宋" w:hint="eastAsia"/>
          <w:color w:val="000000" w:themeColor="text1"/>
          <w:sz w:val="28"/>
          <w:szCs w:val="28"/>
        </w:rPr>
        <w:t>79.6</w:t>
      </w:r>
      <w:r w:rsidRPr="00C95DC1">
        <w:rPr>
          <w:rFonts w:ascii="仿宋" w:eastAsia="仿宋" w:hAnsi="仿宋" w:hint="eastAsia"/>
          <w:color w:val="000000" w:themeColor="text1"/>
          <w:sz w:val="28"/>
          <w:szCs w:val="28"/>
        </w:rPr>
        <w:t>件，</w:t>
      </w:r>
      <w:r w:rsidR="00565B97" w:rsidRPr="00C95DC1">
        <w:rPr>
          <w:rFonts w:ascii="仿宋" w:eastAsia="仿宋" w:hAnsi="仿宋" w:hint="eastAsia"/>
          <w:color w:val="000000" w:themeColor="text1"/>
          <w:sz w:val="28"/>
          <w:szCs w:val="28"/>
        </w:rPr>
        <w:t>同比增加</w:t>
      </w:r>
      <w:r w:rsidR="006D6E18">
        <w:rPr>
          <w:rFonts w:ascii="仿宋" w:eastAsia="仿宋" w:hAnsi="仿宋" w:hint="eastAsia"/>
          <w:color w:val="000000" w:themeColor="text1"/>
          <w:sz w:val="28"/>
          <w:szCs w:val="28"/>
        </w:rPr>
        <w:t>8.81</w:t>
      </w:r>
      <w:r w:rsidR="00565B97" w:rsidRPr="00C95DC1">
        <w:rPr>
          <w:rFonts w:ascii="仿宋" w:eastAsia="仿宋" w:hAnsi="仿宋" w:hint="eastAsia"/>
          <w:color w:val="000000" w:themeColor="text1"/>
          <w:sz w:val="28"/>
          <w:szCs w:val="28"/>
        </w:rPr>
        <w:t>件，上升</w:t>
      </w:r>
      <w:r w:rsidR="00C95DC1" w:rsidRPr="00C95DC1">
        <w:rPr>
          <w:rFonts w:ascii="仿宋" w:eastAsia="仿宋" w:hAnsi="仿宋" w:hint="eastAsia"/>
          <w:color w:val="000000" w:themeColor="text1"/>
          <w:sz w:val="28"/>
          <w:szCs w:val="28"/>
        </w:rPr>
        <w:t>1</w:t>
      </w:r>
      <w:r w:rsidR="006D6E18">
        <w:rPr>
          <w:rFonts w:ascii="仿宋" w:eastAsia="仿宋" w:hAnsi="仿宋" w:hint="eastAsia"/>
          <w:color w:val="000000" w:themeColor="text1"/>
          <w:sz w:val="28"/>
          <w:szCs w:val="28"/>
        </w:rPr>
        <w:t>2.45</w:t>
      </w:r>
      <w:r w:rsidR="00565B97" w:rsidRPr="00C95DC1">
        <w:rPr>
          <w:rFonts w:ascii="仿宋" w:eastAsia="仿宋" w:hAnsi="仿宋" w:hint="eastAsia"/>
          <w:color w:val="000000" w:themeColor="text1"/>
          <w:sz w:val="28"/>
          <w:szCs w:val="28"/>
        </w:rPr>
        <w:t>%</w:t>
      </w:r>
      <w:r w:rsidR="00B0513C" w:rsidRPr="00C95DC1">
        <w:rPr>
          <w:rFonts w:ascii="仿宋" w:eastAsia="仿宋" w:hAnsi="仿宋" w:hint="eastAsia"/>
          <w:color w:val="000000" w:themeColor="text1"/>
          <w:sz w:val="28"/>
          <w:szCs w:val="28"/>
        </w:rPr>
        <w:t>（和龙法院</w:t>
      </w:r>
      <w:r w:rsidR="00D935EA" w:rsidRPr="00C95DC1">
        <w:rPr>
          <w:rFonts w:ascii="仿宋" w:eastAsia="仿宋" w:hAnsi="仿宋" w:hint="eastAsia"/>
          <w:color w:val="000000" w:themeColor="text1"/>
          <w:sz w:val="28"/>
          <w:szCs w:val="28"/>
        </w:rPr>
        <w:t>2019年1-</w:t>
      </w:r>
      <w:r w:rsidR="00772968">
        <w:rPr>
          <w:rFonts w:ascii="仿宋" w:eastAsia="仿宋" w:hAnsi="仿宋" w:hint="eastAsia"/>
          <w:color w:val="000000" w:themeColor="text1"/>
          <w:sz w:val="28"/>
          <w:szCs w:val="28"/>
        </w:rPr>
        <w:t>9</w:t>
      </w:r>
      <w:r w:rsidR="00D935EA" w:rsidRPr="00C95DC1">
        <w:rPr>
          <w:rFonts w:ascii="仿宋" w:eastAsia="仿宋" w:hAnsi="仿宋" w:hint="eastAsia"/>
          <w:color w:val="000000" w:themeColor="text1"/>
          <w:sz w:val="28"/>
          <w:szCs w:val="28"/>
        </w:rPr>
        <w:t>月</w:t>
      </w:r>
      <w:r w:rsidR="00B0513C" w:rsidRPr="00C95DC1">
        <w:rPr>
          <w:rFonts w:ascii="仿宋" w:eastAsia="仿宋" w:hAnsi="仿宋" w:hint="eastAsia"/>
          <w:color w:val="000000" w:themeColor="text1"/>
          <w:sz w:val="28"/>
          <w:szCs w:val="28"/>
        </w:rPr>
        <w:t>员额法官人数</w:t>
      </w:r>
      <w:r w:rsidR="00B35EEC" w:rsidRPr="00C95DC1">
        <w:rPr>
          <w:rFonts w:ascii="仿宋" w:eastAsia="仿宋" w:hAnsi="仿宋" w:hint="eastAsia"/>
          <w:color w:val="000000" w:themeColor="text1"/>
          <w:sz w:val="28"/>
          <w:szCs w:val="28"/>
        </w:rPr>
        <w:t>2</w:t>
      </w:r>
      <w:r w:rsidR="001B64E3" w:rsidRPr="00C95DC1">
        <w:rPr>
          <w:rFonts w:ascii="仿宋" w:eastAsia="仿宋" w:hAnsi="仿宋" w:hint="eastAsia"/>
          <w:color w:val="000000" w:themeColor="text1"/>
          <w:sz w:val="28"/>
          <w:szCs w:val="28"/>
        </w:rPr>
        <w:t>3</w:t>
      </w:r>
      <w:r w:rsidR="00B0513C" w:rsidRPr="00C95DC1">
        <w:rPr>
          <w:rFonts w:ascii="仿宋" w:eastAsia="仿宋" w:hAnsi="仿宋" w:hint="eastAsia"/>
          <w:color w:val="000000" w:themeColor="text1"/>
          <w:sz w:val="28"/>
          <w:szCs w:val="28"/>
        </w:rPr>
        <w:t>人，其中诉讼员额法官</w:t>
      </w:r>
      <w:r w:rsidR="00B35EEC" w:rsidRPr="00C95DC1">
        <w:rPr>
          <w:rFonts w:ascii="仿宋" w:eastAsia="仿宋" w:hAnsi="仿宋" w:hint="eastAsia"/>
          <w:color w:val="000000" w:themeColor="text1"/>
          <w:sz w:val="28"/>
          <w:szCs w:val="28"/>
        </w:rPr>
        <w:t>1</w:t>
      </w:r>
      <w:r w:rsidR="00870DF1" w:rsidRPr="00C95DC1">
        <w:rPr>
          <w:rFonts w:ascii="仿宋" w:eastAsia="仿宋" w:hAnsi="仿宋" w:hint="eastAsia"/>
          <w:color w:val="000000" w:themeColor="text1"/>
          <w:sz w:val="28"/>
          <w:szCs w:val="28"/>
        </w:rPr>
        <w:t>7</w:t>
      </w:r>
      <w:r w:rsidR="00B0513C" w:rsidRPr="00C95DC1">
        <w:rPr>
          <w:rFonts w:ascii="仿宋" w:eastAsia="仿宋" w:hAnsi="仿宋" w:hint="eastAsia"/>
          <w:color w:val="000000" w:themeColor="text1"/>
          <w:sz w:val="28"/>
          <w:szCs w:val="28"/>
        </w:rPr>
        <w:t>人，执行员额法官</w:t>
      </w:r>
      <w:r w:rsidR="006D6E18">
        <w:rPr>
          <w:rFonts w:ascii="仿宋" w:eastAsia="仿宋" w:hAnsi="仿宋" w:hint="eastAsia"/>
          <w:color w:val="000000" w:themeColor="text1"/>
          <w:sz w:val="28"/>
          <w:szCs w:val="28"/>
        </w:rPr>
        <w:t>3</w:t>
      </w:r>
      <w:r w:rsidR="00B0513C" w:rsidRPr="00C95DC1">
        <w:rPr>
          <w:rFonts w:ascii="仿宋" w:eastAsia="仿宋" w:hAnsi="仿宋" w:hint="eastAsia"/>
          <w:color w:val="000000" w:themeColor="text1"/>
          <w:sz w:val="28"/>
          <w:szCs w:val="28"/>
        </w:rPr>
        <w:t>人</w:t>
      </w:r>
      <w:r w:rsidR="00B80D00" w:rsidRPr="00C95DC1">
        <w:rPr>
          <w:rFonts w:ascii="仿宋" w:eastAsia="仿宋" w:hAnsi="仿宋" w:hint="eastAsia"/>
          <w:color w:val="000000" w:themeColor="text1"/>
          <w:sz w:val="28"/>
          <w:szCs w:val="28"/>
        </w:rPr>
        <w:t>,</w:t>
      </w:r>
      <w:r w:rsidR="001B64E3" w:rsidRPr="00C95DC1">
        <w:rPr>
          <w:rFonts w:ascii="仿宋" w:eastAsia="仿宋" w:hAnsi="仿宋" w:hint="eastAsia"/>
          <w:color w:val="000000" w:themeColor="text1"/>
          <w:sz w:val="28"/>
          <w:szCs w:val="28"/>
        </w:rPr>
        <w:t>3</w:t>
      </w:r>
      <w:r w:rsidR="00B80D00" w:rsidRPr="00C95DC1">
        <w:rPr>
          <w:rFonts w:ascii="仿宋" w:eastAsia="仿宋" w:hAnsi="仿宋" w:hint="eastAsia"/>
          <w:color w:val="000000" w:themeColor="text1"/>
          <w:sz w:val="28"/>
          <w:szCs w:val="28"/>
        </w:rPr>
        <w:t>人未办理案件</w:t>
      </w:r>
      <w:r w:rsidR="00B0513C" w:rsidRPr="00C95DC1">
        <w:rPr>
          <w:rFonts w:ascii="仿宋" w:eastAsia="仿宋" w:hAnsi="仿宋" w:hint="eastAsia"/>
          <w:color w:val="000000" w:themeColor="text1"/>
          <w:sz w:val="28"/>
          <w:szCs w:val="28"/>
        </w:rPr>
        <w:t>）</w:t>
      </w:r>
      <w:r w:rsidRPr="00C95DC1">
        <w:rPr>
          <w:rFonts w:ascii="仿宋" w:eastAsia="仿宋" w:hAnsi="仿宋" w:hint="eastAsia"/>
          <w:color w:val="000000" w:themeColor="text1"/>
          <w:sz w:val="28"/>
          <w:szCs w:val="28"/>
        </w:rPr>
        <w:t>。</w:t>
      </w:r>
    </w:p>
    <w:p w:rsidR="00025DAE" w:rsidRPr="0018122A" w:rsidRDefault="00050986">
      <w:pPr>
        <w:pStyle w:val="1"/>
        <w:rPr>
          <w:color w:val="000000" w:themeColor="text1"/>
        </w:rPr>
      </w:pPr>
      <w:r w:rsidRPr="0018122A">
        <w:rPr>
          <w:rFonts w:hint="eastAsia"/>
          <w:color w:val="000000" w:themeColor="text1"/>
        </w:rPr>
        <w:t xml:space="preserve">    </w:t>
      </w:r>
      <w:bookmarkStart w:id="7" w:name="_Toc511998398"/>
      <w:bookmarkStart w:id="8" w:name="_Toc512002109"/>
      <w:bookmarkStart w:id="9" w:name="_Toc512002179"/>
      <w:bookmarkStart w:id="10" w:name="_Toc25137258"/>
      <w:r w:rsidRPr="0018122A">
        <w:rPr>
          <w:rFonts w:hint="eastAsia"/>
          <w:color w:val="000000" w:themeColor="text1"/>
        </w:rPr>
        <w:t>二、</w:t>
      </w:r>
      <w:r w:rsidR="00D935EA">
        <w:rPr>
          <w:rFonts w:hint="eastAsia"/>
          <w:color w:val="000000" w:themeColor="text1"/>
        </w:rPr>
        <w:t>2019</w:t>
      </w:r>
      <w:r w:rsidR="00D935EA">
        <w:rPr>
          <w:rFonts w:hint="eastAsia"/>
          <w:color w:val="000000" w:themeColor="text1"/>
        </w:rPr>
        <w:t>年</w:t>
      </w:r>
      <w:r w:rsidR="00D935EA">
        <w:rPr>
          <w:rFonts w:hint="eastAsia"/>
          <w:color w:val="000000" w:themeColor="text1"/>
        </w:rPr>
        <w:t>1-</w:t>
      </w:r>
      <w:r w:rsidR="006D6E18">
        <w:rPr>
          <w:rFonts w:hint="eastAsia"/>
          <w:color w:val="000000" w:themeColor="text1"/>
        </w:rPr>
        <w:t>9</w:t>
      </w:r>
      <w:r w:rsidR="00D935EA">
        <w:rPr>
          <w:rFonts w:hint="eastAsia"/>
          <w:color w:val="000000" w:themeColor="text1"/>
        </w:rPr>
        <w:t>月</w:t>
      </w:r>
      <w:r w:rsidRPr="0018122A">
        <w:rPr>
          <w:rFonts w:hint="eastAsia"/>
          <w:color w:val="000000" w:themeColor="text1"/>
        </w:rPr>
        <w:t>和龙法院诉讼案件总体情况</w:t>
      </w:r>
      <w:bookmarkEnd w:id="7"/>
      <w:bookmarkEnd w:id="8"/>
      <w:bookmarkEnd w:id="9"/>
      <w:bookmarkEnd w:id="10"/>
    </w:p>
    <w:p w:rsidR="00025DAE" w:rsidRPr="0018122A" w:rsidRDefault="00D935EA">
      <w:pPr>
        <w:spacing w:line="360" w:lineRule="auto"/>
        <w:ind w:firstLine="573"/>
        <w:rPr>
          <w:rFonts w:ascii="仿宋" w:eastAsia="仿宋" w:hAnsi="仿宋"/>
          <w:color w:val="000000" w:themeColor="text1"/>
          <w:sz w:val="28"/>
          <w:szCs w:val="28"/>
        </w:rPr>
      </w:pPr>
      <w:r>
        <w:rPr>
          <w:rFonts w:ascii="仿宋" w:eastAsia="仿宋" w:hAnsi="仿宋" w:hint="eastAsia"/>
          <w:color w:val="000000" w:themeColor="text1"/>
          <w:sz w:val="28"/>
          <w:szCs w:val="28"/>
        </w:rPr>
        <w:t>2019年1-</w:t>
      </w:r>
      <w:r w:rsidR="006D6E18">
        <w:rPr>
          <w:rFonts w:ascii="仿宋" w:eastAsia="仿宋" w:hAnsi="仿宋" w:hint="eastAsia"/>
          <w:color w:val="000000" w:themeColor="text1"/>
          <w:sz w:val="28"/>
          <w:szCs w:val="28"/>
        </w:rPr>
        <w:t>9</w:t>
      </w:r>
      <w:r>
        <w:rPr>
          <w:rFonts w:ascii="仿宋" w:eastAsia="仿宋" w:hAnsi="仿宋" w:hint="eastAsia"/>
          <w:color w:val="000000" w:themeColor="text1"/>
          <w:sz w:val="28"/>
          <w:szCs w:val="28"/>
        </w:rPr>
        <w:t>月</w:t>
      </w:r>
      <w:r w:rsidR="00050986" w:rsidRPr="0018122A">
        <w:rPr>
          <w:rFonts w:ascii="仿宋" w:eastAsia="仿宋" w:hAnsi="仿宋" w:hint="eastAsia"/>
          <w:color w:val="000000" w:themeColor="text1"/>
          <w:sz w:val="28"/>
          <w:szCs w:val="28"/>
        </w:rPr>
        <w:t>和龙法院共受理诉讼案件</w:t>
      </w:r>
      <w:r w:rsidR="003B415D">
        <w:rPr>
          <w:rFonts w:ascii="仿宋" w:eastAsia="仿宋" w:hAnsi="仿宋" w:hint="eastAsia"/>
          <w:color w:val="000000" w:themeColor="text1"/>
          <w:sz w:val="28"/>
          <w:szCs w:val="28"/>
        </w:rPr>
        <w:t>1258</w:t>
      </w:r>
      <w:r w:rsidR="00050986" w:rsidRPr="0018122A">
        <w:rPr>
          <w:rFonts w:ascii="仿宋" w:eastAsia="仿宋" w:hAnsi="仿宋" w:hint="eastAsia"/>
          <w:color w:val="000000" w:themeColor="text1"/>
          <w:sz w:val="28"/>
          <w:szCs w:val="28"/>
        </w:rPr>
        <w:t>件，</w:t>
      </w:r>
      <w:proofErr w:type="gramStart"/>
      <w:r w:rsidR="00050986" w:rsidRPr="0018122A">
        <w:rPr>
          <w:rFonts w:ascii="仿宋" w:eastAsia="仿宋" w:hAnsi="仿宋" w:hint="eastAsia"/>
          <w:color w:val="000000" w:themeColor="text1"/>
          <w:sz w:val="28"/>
          <w:szCs w:val="28"/>
        </w:rPr>
        <w:t>其中年转旧存</w:t>
      </w:r>
      <w:proofErr w:type="gramEnd"/>
      <w:r w:rsidR="00DD2BE2">
        <w:rPr>
          <w:rFonts w:ascii="仿宋" w:eastAsia="仿宋" w:hAnsi="仿宋" w:hint="eastAsia"/>
          <w:color w:val="000000" w:themeColor="text1"/>
          <w:sz w:val="28"/>
          <w:szCs w:val="28"/>
        </w:rPr>
        <w:t>172</w:t>
      </w:r>
      <w:r w:rsidR="00050986" w:rsidRPr="0018122A">
        <w:rPr>
          <w:rFonts w:ascii="仿宋" w:eastAsia="仿宋" w:hAnsi="仿宋" w:hint="eastAsia"/>
          <w:color w:val="000000" w:themeColor="text1"/>
          <w:sz w:val="28"/>
          <w:szCs w:val="28"/>
        </w:rPr>
        <w:t>件，新收</w:t>
      </w:r>
      <w:r w:rsidR="003B415D">
        <w:rPr>
          <w:rFonts w:ascii="仿宋" w:eastAsia="仿宋" w:hAnsi="仿宋" w:hint="eastAsia"/>
          <w:color w:val="000000" w:themeColor="text1"/>
          <w:sz w:val="28"/>
          <w:szCs w:val="28"/>
        </w:rPr>
        <w:t>1086</w:t>
      </w:r>
      <w:r w:rsidR="00050986" w:rsidRPr="0018122A">
        <w:rPr>
          <w:rFonts w:ascii="仿宋" w:eastAsia="仿宋" w:hAnsi="仿宋" w:hint="eastAsia"/>
          <w:color w:val="000000" w:themeColor="text1"/>
          <w:sz w:val="28"/>
          <w:szCs w:val="28"/>
        </w:rPr>
        <w:t>件，结案</w:t>
      </w:r>
      <w:r w:rsidR="003B415D">
        <w:rPr>
          <w:rFonts w:ascii="仿宋" w:eastAsia="仿宋" w:hAnsi="仿宋" w:hint="eastAsia"/>
          <w:color w:val="000000" w:themeColor="text1"/>
          <w:sz w:val="28"/>
          <w:szCs w:val="28"/>
        </w:rPr>
        <w:t>1053</w:t>
      </w:r>
      <w:r w:rsidR="00050986" w:rsidRPr="0018122A">
        <w:rPr>
          <w:rFonts w:ascii="仿宋" w:eastAsia="仿宋" w:hAnsi="仿宋" w:hint="eastAsia"/>
          <w:color w:val="000000" w:themeColor="text1"/>
          <w:sz w:val="28"/>
          <w:szCs w:val="28"/>
        </w:rPr>
        <w:t>件，结案率</w:t>
      </w:r>
      <w:r w:rsidR="003B415D">
        <w:rPr>
          <w:rFonts w:ascii="仿宋" w:eastAsia="仿宋" w:hAnsi="仿宋" w:hint="eastAsia"/>
          <w:color w:val="000000" w:themeColor="text1"/>
          <w:sz w:val="28"/>
          <w:szCs w:val="28"/>
        </w:rPr>
        <w:t>83.70</w:t>
      </w:r>
      <w:r w:rsidR="00050986" w:rsidRPr="0018122A">
        <w:rPr>
          <w:rFonts w:ascii="仿宋" w:eastAsia="仿宋" w:hAnsi="仿宋" w:hint="eastAsia"/>
          <w:color w:val="000000" w:themeColor="text1"/>
          <w:sz w:val="28"/>
          <w:szCs w:val="28"/>
        </w:rPr>
        <w:t>%，截至</w:t>
      </w:r>
      <w:r>
        <w:rPr>
          <w:rFonts w:ascii="仿宋" w:eastAsia="仿宋" w:hAnsi="仿宋" w:hint="eastAsia"/>
          <w:color w:val="000000" w:themeColor="text1"/>
          <w:sz w:val="28"/>
          <w:szCs w:val="28"/>
        </w:rPr>
        <w:t>2019年</w:t>
      </w:r>
      <w:r w:rsidR="003B415D">
        <w:rPr>
          <w:rFonts w:ascii="仿宋" w:eastAsia="仿宋" w:hAnsi="仿宋" w:hint="eastAsia"/>
          <w:color w:val="000000" w:themeColor="text1"/>
          <w:sz w:val="28"/>
          <w:szCs w:val="28"/>
        </w:rPr>
        <w:t>9</w:t>
      </w:r>
      <w:r>
        <w:rPr>
          <w:rFonts w:ascii="仿宋" w:eastAsia="仿宋" w:hAnsi="仿宋" w:hint="eastAsia"/>
          <w:color w:val="000000" w:themeColor="text1"/>
          <w:sz w:val="28"/>
          <w:szCs w:val="28"/>
        </w:rPr>
        <w:t>月</w:t>
      </w:r>
      <w:r w:rsidR="001956CD">
        <w:rPr>
          <w:rFonts w:ascii="仿宋" w:eastAsia="仿宋" w:hAnsi="仿宋" w:hint="eastAsia"/>
          <w:color w:val="000000" w:themeColor="text1"/>
          <w:sz w:val="28"/>
          <w:szCs w:val="28"/>
        </w:rPr>
        <w:t>3</w:t>
      </w:r>
      <w:r w:rsidR="003B415D">
        <w:rPr>
          <w:rFonts w:ascii="仿宋" w:eastAsia="仿宋" w:hAnsi="仿宋" w:hint="eastAsia"/>
          <w:color w:val="000000" w:themeColor="text1"/>
          <w:sz w:val="28"/>
          <w:szCs w:val="28"/>
        </w:rPr>
        <w:t>0</w:t>
      </w:r>
      <w:r w:rsidR="001956CD">
        <w:rPr>
          <w:rFonts w:ascii="仿宋" w:eastAsia="仿宋" w:hAnsi="仿宋" w:hint="eastAsia"/>
          <w:color w:val="000000" w:themeColor="text1"/>
          <w:sz w:val="28"/>
          <w:szCs w:val="28"/>
        </w:rPr>
        <w:t>日</w:t>
      </w:r>
      <w:r w:rsidR="00050986" w:rsidRPr="0018122A">
        <w:rPr>
          <w:rFonts w:ascii="仿宋" w:eastAsia="仿宋" w:hAnsi="仿宋" w:hint="eastAsia"/>
          <w:color w:val="000000" w:themeColor="text1"/>
          <w:sz w:val="28"/>
          <w:szCs w:val="28"/>
        </w:rPr>
        <w:t>，未结案件</w:t>
      </w:r>
      <w:r w:rsidR="003B415D">
        <w:rPr>
          <w:rFonts w:ascii="仿宋" w:eastAsia="仿宋" w:hAnsi="仿宋" w:hint="eastAsia"/>
          <w:color w:val="000000" w:themeColor="text1"/>
          <w:sz w:val="28"/>
          <w:szCs w:val="28"/>
        </w:rPr>
        <w:t>205</w:t>
      </w:r>
      <w:r w:rsidR="00050986" w:rsidRPr="0018122A">
        <w:rPr>
          <w:rFonts w:ascii="仿宋" w:eastAsia="仿宋" w:hAnsi="仿宋" w:hint="eastAsia"/>
          <w:color w:val="000000" w:themeColor="text1"/>
          <w:sz w:val="28"/>
          <w:szCs w:val="28"/>
        </w:rPr>
        <w:t>件。</w:t>
      </w:r>
    </w:p>
    <w:p w:rsidR="00025DAE" w:rsidRPr="0018122A" w:rsidRDefault="00D935EA">
      <w:pPr>
        <w:spacing w:line="360" w:lineRule="auto"/>
        <w:ind w:firstLine="573"/>
        <w:rPr>
          <w:rFonts w:ascii="仿宋" w:eastAsia="仿宋" w:hAnsi="仿宋"/>
          <w:color w:val="000000" w:themeColor="text1"/>
          <w:sz w:val="28"/>
          <w:szCs w:val="28"/>
        </w:rPr>
      </w:pPr>
      <w:r>
        <w:rPr>
          <w:rFonts w:ascii="仿宋" w:eastAsia="仿宋" w:hAnsi="仿宋" w:hint="eastAsia"/>
          <w:color w:val="000000" w:themeColor="text1"/>
          <w:sz w:val="28"/>
          <w:szCs w:val="28"/>
        </w:rPr>
        <w:t>2019年1-</w:t>
      </w:r>
      <w:r w:rsidR="003B415D">
        <w:rPr>
          <w:rFonts w:ascii="仿宋" w:eastAsia="仿宋" w:hAnsi="仿宋" w:hint="eastAsia"/>
          <w:color w:val="000000" w:themeColor="text1"/>
          <w:sz w:val="28"/>
          <w:szCs w:val="28"/>
        </w:rPr>
        <w:t>9</w:t>
      </w:r>
      <w:r>
        <w:rPr>
          <w:rFonts w:ascii="仿宋" w:eastAsia="仿宋" w:hAnsi="仿宋" w:hint="eastAsia"/>
          <w:color w:val="000000" w:themeColor="text1"/>
          <w:sz w:val="28"/>
          <w:szCs w:val="28"/>
        </w:rPr>
        <w:t>月</w:t>
      </w:r>
      <w:r w:rsidR="00050986" w:rsidRPr="0018122A">
        <w:rPr>
          <w:rFonts w:ascii="仿宋" w:eastAsia="仿宋" w:hAnsi="仿宋" w:hint="eastAsia"/>
          <w:color w:val="000000" w:themeColor="text1"/>
          <w:sz w:val="28"/>
          <w:szCs w:val="28"/>
        </w:rPr>
        <w:t>与去年同期相比，诉讼类案件旧存</w:t>
      </w:r>
      <w:r w:rsidR="00115A3A" w:rsidRPr="0018122A">
        <w:rPr>
          <w:rFonts w:ascii="仿宋" w:eastAsia="仿宋" w:hAnsi="仿宋" w:hint="eastAsia"/>
          <w:color w:val="000000" w:themeColor="text1"/>
          <w:sz w:val="28"/>
          <w:szCs w:val="28"/>
        </w:rPr>
        <w:t>增加</w:t>
      </w:r>
      <w:r w:rsidR="000B1126">
        <w:rPr>
          <w:rFonts w:ascii="仿宋" w:eastAsia="仿宋" w:hAnsi="仿宋" w:hint="eastAsia"/>
          <w:color w:val="000000" w:themeColor="text1"/>
          <w:sz w:val="28"/>
          <w:szCs w:val="28"/>
        </w:rPr>
        <w:t>92</w:t>
      </w:r>
      <w:r w:rsidR="00115A3A" w:rsidRPr="0018122A">
        <w:rPr>
          <w:rFonts w:ascii="仿宋" w:eastAsia="仿宋" w:hAnsi="仿宋" w:hint="eastAsia"/>
          <w:color w:val="000000" w:themeColor="text1"/>
          <w:sz w:val="28"/>
          <w:szCs w:val="28"/>
        </w:rPr>
        <w:t>件，上升115</w:t>
      </w:r>
      <w:r w:rsidR="002C15A5" w:rsidRPr="0018122A">
        <w:rPr>
          <w:rFonts w:ascii="仿宋" w:eastAsia="仿宋" w:hAnsi="仿宋" w:hint="eastAsia"/>
          <w:color w:val="000000" w:themeColor="text1"/>
          <w:sz w:val="28"/>
          <w:szCs w:val="28"/>
        </w:rPr>
        <w:t>.00</w:t>
      </w:r>
      <w:r w:rsidR="00050986" w:rsidRPr="0018122A">
        <w:rPr>
          <w:rFonts w:ascii="仿宋" w:eastAsia="仿宋" w:hAnsi="仿宋" w:hint="eastAsia"/>
          <w:color w:val="000000" w:themeColor="text1"/>
          <w:sz w:val="28"/>
          <w:szCs w:val="28"/>
        </w:rPr>
        <w:t>%，新收</w:t>
      </w:r>
      <w:r w:rsidR="001317C9">
        <w:rPr>
          <w:rFonts w:ascii="仿宋" w:eastAsia="仿宋" w:hAnsi="仿宋" w:hint="eastAsia"/>
          <w:color w:val="000000" w:themeColor="text1"/>
          <w:sz w:val="28"/>
          <w:szCs w:val="28"/>
        </w:rPr>
        <w:t>增加</w:t>
      </w:r>
      <w:r w:rsidR="00C95DC1">
        <w:rPr>
          <w:rFonts w:ascii="仿宋" w:eastAsia="仿宋" w:hAnsi="仿宋" w:hint="eastAsia"/>
          <w:color w:val="000000" w:themeColor="text1"/>
          <w:sz w:val="28"/>
          <w:szCs w:val="28"/>
        </w:rPr>
        <w:t>11</w:t>
      </w:r>
      <w:r w:rsidR="003B415D">
        <w:rPr>
          <w:rFonts w:ascii="仿宋" w:eastAsia="仿宋" w:hAnsi="仿宋" w:hint="eastAsia"/>
          <w:color w:val="000000" w:themeColor="text1"/>
          <w:sz w:val="28"/>
          <w:szCs w:val="28"/>
        </w:rPr>
        <w:t>8</w:t>
      </w:r>
      <w:r w:rsidR="00050986" w:rsidRPr="0018122A">
        <w:rPr>
          <w:rFonts w:ascii="仿宋" w:eastAsia="仿宋" w:hAnsi="仿宋" w:hint="eastAsia"/>
          <w:color w:val="000000" w:themeColor="text1"/>
          <w:sz w:val="28"/>
          <w:szCs w:val="28"/>
        </w:rPr>
        <w:t>件，</w:t>
      </w:r>
      <w:r w:rsidR="001317C9">
        <w:rPr>
          <w:rFonts w:ascii="仿宋" w:eastAsia="仿宋" w:hAnsi="仿宋" w:hint="eastAsia"/>
          <w:color w:val="000000" w:themeColor="text1"/>
          <w:sz w:val="28"/>
          <w:szCs w:val="28"/>
        </w:rPr>
        <w:t>上升</w:t>
      </w:r>
      <w:r w:rsidR="003B415D">
        <w:rPr>
          <w:rFonts w:ascii="仿宋" w:eastAsia="仿宋" w:hAnsi="仿宋" w:hint="eastAsia"/>
          <w:color w:val="000000" w:themeColor="text1"/>
          <w:sz w:val="28"/>
          <w:szCs w:val="28"/>
        </w:rPr>
        <w:t>12.19</w:t>
      </w:r>
      <w:r w:rsidR="00050986" w:rsidRPr="0018122A">
        <w:rPr>
          <w:rFonts w:ascii="仿宋" w:eastAsia="仿宋" w:hAnsi="仿宋" w:hint="eastAsia"/>
          <w:color w:val="000000" w:themeColor="text1"/>
          <w:sz w:val="28"/>
          <w:szCs w:val="28"/>
        </w:rPr>
        <w:t>%；旧存加新收合计</w:t>
      </w:r>
      <w:r w:rsidR="002C15A5" w:rsidRPr="0018122A">
        <w:rPr>
          <w:rFonts w:ascii="仿宋" w:eastAsia="仿宋" w:hAnsi="仿宋" w:hint="eastAsia"/>
          <w:color w:val="000000" w:themeColor="text1"/>
          <w:sz w:val="28"/>
          <w:szCs w:val="28"/>
        </w:rPr>
        <w:t>增加</w:t>
      </w:r>
      <w:r w:rsidR="00C95DC1">
        <w:rPr>
          <w:rFonts w:ascii="仿宋" w:eastAsia="仿宋" w:hAnsi="仿宋" w:hint="eastAsia"/>
          <w:color w:val="000000" w:themeColor="text1"/>
          <w:sz w:val="28"/>
          <w:szCs w:val="28"/>
        </w:rPr>
        <w:t>21</w:t>
      </w:r>
      <w:r w:rsidR="003B415D">
        <w:rPr>
          <w:rFonts w:ascii="仿宋" w:eastAsia="仿宋" w:hAnsi="仿宋" w:hint="eastAsia"/>
          <w:color w:val="000000" w:themeColor="text1"/>
          <w:sz w:val="28"/>
          <w:szCs w:val="28"/>
        </w:rPr>
        <w:t>0</w:t>
      </w:r>
      <w:r w:rsidR="00050986" w:rsidRPr="0018122A">
        <w:rPr>
          <w:rFonts w:ascii="仿宋" w:eastAsia="仿宋" w:hAnsi="仿宋" w:hint="eastAsia"/>
          <w:color w:val="000000" w:themeColor="text1"/>
          <w:sz w:val="28"/>
          <w:szCs w:val="28"/>
        </w:rPr>
        <w:t>件，</w:t>
      </w:r>
      <w:r w:rsidR="002C15A5" w:rsidRPr="0018122A">
        <w:rPr>
          <w:rFonts w:ascii="仿宋" w:eastAsia="仿宋" w:hAnsi="仿宋" w:hint="eastAsia"/>
          <w:color w:val="000000" w:themeColor="text1"/>
          <w:sz w:val="28"/>
          <w:szCs w:val="28"/>
        </w:rPr>
        <w:t>上升</w:t>
      </w:r>
      <w:r w:rsidR="00C95DC1">
        <w:rPr>
          <w:rFonts w:ascii="仿宋" w:eastAsia="仿宋" w:hAnsi="仿宋" w:hint="eastAsia"/>
          <w:color w:val="000000" w:themeColor="text1"/>
          <w:sz w:val="28"/>
          <w:szCs w:val="28"/>
        </w:rPr>
        <w:t>2</w:t>
      </w:r>
      <w:r w:rsidR="003B415D">
        <w:rPr>
          <w:rFonts w:ascii="仿宋" w:eastAsia="仿宋" w:hAnsi="仿宋" w:hint="eastAsia"/>
          <w:color w:val="000000" w:themeColor="text1"/>
          <w:sz w:val="28"/>
          <w:szCs w:val="28"/>
        </w:rPr>
        <w:t>0.04</w:t>
      </w:r>
      <w:r w:rsidR="00050986" w:rsidRPr="0018122A">
        <w:rPr>
          <w:rFonts w:ascii="仿宋" w:eastAsia="仿宋" w:hAnsi="仿宋" w:hint="eastAsia"/>
          <w:color w:val="000000" w:themeColor="text1"/>
          <w:sz w:val="28"/>
          <w:szCs w:val="28"/>
        </w:rPr>
        <w:t>%；结案</w:t>
      </w:r>
      <w:r w:rsidR="00D60547" w:rsidRPr="0018122A">
        <w:rPr>
          <w:rFonts w:ascii="仿宋" w:eastAsia="仿宋" w:hAnsi="仿宋" w:hint="eastAsia"/>
          <w:color w:val="000000" w:themeColor="text1"/>
          <w:sz w:val="28"/>
          <w:szCs w:val="28"/>
        </w:rPr>
        <w:t>增加</w:t>
      </w:r>
      <w:r w:rsidR="003B415D">
        <w:rPr>
          <w:rFonts w:ascii="仿宋" w:eastAsia="仿宋" w:hAnsi="仿宋" w:hint="eastAsia"/>
          <w:color w:val="000000" w:themeColor="text1"/>
          <w:sz w:val="28"/>
          <w:szCs w:val="28"/>
        </w:rPr>
        <w:t>211</w:t>
      </w:r>
      <w:r w:rsidR="00D60547" w:rsidRPr="0018122A">
        <w:rPr>
          <w:rFonts w:ascii="仿宋" w:eastAsia="仿宋" w:hAnsi="仿宋" w:hint="eastAsia"/>
          <w:color w:val="000000" w:themeColor="text1"/>
          <w:sz w:val="28"/>
          <w:szCs w:val="28"/>
        </w:rPr>
        <w:t>件，上升</w:t>
      </w:r>
      <w:r w:rsidR="003B415D">
        <w:rPr>
          <w:rFonts w:ascii="仿宋" w:eastAsia="仿宋" w:hAnsi="仿宋" w:hint="eastAsia"/>
          <w:color w:val="000000" w:themeColor="text1"/>
          <w:sz w:val="28"/>
          <w:szCs w:val="28"/>
        </w:rPr>
        <w:t>25.06</w:t>
      </w:r>
      <w:r w:rsidR="00050986" w:rsidRPr="0018122A">
        <w:rPr>
          <w:rFonts w:ascii="仿宋" w:eastAsia="仿宋" w:hAnsi="仿宋" w:hint="eastAsia"/>
          <w:color w:val="000000" w:themeColor="text1"/>
          <w:sz w:val="28"/>
          <w:szCs w:val="28"/>
        </w:rPr>
        <w:t>%；结案率</w:t>
      </w:r>
      <w:r w:rsidR="00B26F13">
        <w:rPr>
          <w:rFonts w:ascii="仿宋" w:eastAsia="仿宋" w:hAnsi="仿宋" w:hint="eastAsia"/>
          <w:color w:val="000000" w:themeColor="text1"/>
          <w:sz w:val="28"/>
          <w:szCs w:val="28"/>
        </w:rPr>
        <w:t>上升</w:t>
      </w:r>
      <w:r w:rsidR="003B415D">
        <w:rPr>
          <w:rFonts w:ascii="仿宋" w:eastAsia="仿宋" w:hAnsi="仿宋" w:hint="eastAsia"/>
          <w:color w:val="000000" w:themeColor="text1"/>
          <w:sz w:val="28"/>
          <w:szCs w:val="28"/>
        </w:rPr>
        <w:t>3.36</w:t>
      </w:r>
      <w:r w:rsidR="00C95DC1">
        <w:rPr>
          <w:rFonts w:ascii="仿宋" w:eastAsia="仿宋" w:hAnsi="仿宋" w:hint="eastAsia"/>
          <w:color w:val="000000" w:themeColor="text1"/>
          <w:sz w:val="28"/>
          <w:szCs w:val="28"/>
        </w:rPr>
        <w:t>个百分点；未结案件减少</w:t>
      </w:r>
      <w:r w:rsidR="003B415D">
        <w:rPr>
          <w:rFonts w:ascii="仿宋" w:eastAsia="仿宋" w:hAnsi="仿宋" w:hint="eastAsia"/>
          <w:color w:val="000000" w:themeColor="text1"/>
          <w:sz w:val="28"/>
          <w:szCs w:val="28"/>
        </w:rPr>
        <w:t>1</w:t>
      </w:r>
      <w:r w:rsidR="00CC295D" w:rsidRPr="0018122A">
        <w:rPr>
          <w:rFonts w:ascii="仿宋" w:eastAsia="仿宋" w:hAnsi="仿宋" w:hint="eastAsia"/>
          <w:color w:val="000000" w:themeColor="text1"/>
          <w:sz w:val="28"/>
          <w:szCs w:val="28"/>
        </w:rPr>
        <w:t>件，</w:t>
      </w:r>
      <w:r w:rsidR="00C95DC1">
        <w:rPr>
          <w:rFonts w:ascii="仿宋" w:eastAsia="仿宋" w:hAnsi="仿宋" w:hint="eastAsia"/>
          <w:color w:val="000000" w:themeColor="text1"/>
          <w:sz w:val="28"/>
          <w:szCs w:val="28"/>
        </w:rPr>
        <w:t>下降</w:t>
      </w:r>
      <w:r w:rsidR="003B415D">
        <w:rPr>
          <w:rFonts w:ascii="仿宋" w:eastAsia="仿宋" w:hAnsi="仿宋" w:hint="eastAsia"/>
          <w:color w:val="000000" w:themeColor="text1"/>
          <w:sz w:val="28"/>
          <w:szCs w:val="28"/>
        </w:rPr>
        <w:t>0.49</w:t>
      </w:r>
      <w:r w:rsidR="00050986" w:rsidRPr="0018122A">
        <w:rPr>
          <w:rFonts w:ascii="仿宋" w:eastAsia="仿宋" w:hAnsi="仿宋" w:hint="eastAsia"/>
          <w:color w:val="000000" w:themeColor="text1"/>
          <w:sz w:val="28"/>
          <w:szCs w:val="28"/>
        </w:rPr>
        <w:t>%。</w:t>
      </w:r>
    </w:p>
    <w:p w:rsidR="00025DAE" w:rsidRPr="0018122A" w:rsidRDefault="00025DAE">
      <w:pPr>
        <w:spacing w:line="360" w:lineRule="auto"/>
        <w:rPr>
          <w:rFonts w:ascii="仿宋" w:eastAsia="仿宋" w:hAnsi="仿宋"/>
          <w:color w:val="000000" w:themeColor="text1"/>
          <w:sz w:val="28"/>
          <w:szCs w:val="28"/>
        </w:rPr>
      </w:pPr>
    </w:p>
    <w:p w:rsidR="00025DAE" w:rsidRPr="0018122A" w:rsidRDefault="00050986">
      <w:pPr>
        <w:spacing w:line="360" w:lineRule="auto"/>
        <w:rPr>
          <w:rFonts w:ascii="仿宋" w:eastAsia="仿宋" w:hAnsi="仿宋"/>
          <w:color w:val="000000" w:themeColor="text1"/>
          <w:sz w:val="28"/>
          <w:szCs w:val="28"/>
        </w:rPr>
      </w:pPr>
      <w:r w:rsidRPr="0018122A">
        <w:rPr>
          <w:rFonts w:ascii="仿宋" w:eastAsia="仿宋" w:hAnsi="仿宋" w:hint="eastAsia"/>
          <w:noProof/>
          <w:color w:val="000000" w:themeColor="text1"/>
          <w:sz w:val="28"/>
          <w:szCs w:val="28"/>
        </w:rPr>
        <w:drawing>
          <wp:inline distT="0" distB="0" distL="0" distR="0">
            <wp:extent cx="5753100" cy="3200400"/>
            <wp:effectExtent l="19050" t="0" r="1905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25DAE" w:rsidRPr="0018122A" w:rsidRDefault="00025DAE">
      <w:pPr>
        <w:spacing w:line="360" w:lineRule="auto"/>
        <w:ind w:firstLine="573"/>
        <w:rPr>
          <w:rFonts w:ascii="仿宋" w:eastAsia="仿宋" w:hAnsi="仿宋"/>
          <w:color w:val="000000" w:themeColor="text1"/>
          <w:sz w:val="28"/>
          <w:szCs w:val="28"/>
        </w:rPr>
      </w:pPr>
    </w:p>
    <w:p w:rsidR="0096563C" w:rsidRPr="0018122A" w:rsidRDefault="00D935EA" w:rsidP="00C71530">
      <w:pPr>
        <w:spacing w:line="360" w:lineRule="auto"/>
        <w:jc w:val="center"/>
        <w:rPr>
          <w:rFonts w:ascii="宋体" w:hAnsi="宋体"/>
          <w:b/>
          <w:color w:val="000000" w:themeColor="text1"/>
          <w:sz w:val="28"/>
          <w:szCs w:val="28"/>
        </w:rPr>
      </w:pPr>
      <w:r>
        <w:rPr>
          <w:rFonts w:ascii="宋体" w:hAnsi="宋体"/>
          <w:b/>
          <w:color w:val="000000" w:themeColor="text1"/>
          <w:sz w:val="28"/>
          <w:szCs w:val="28"/>
        </w:rPr>
        <w:t>2019年1-</w:t>
      </w:r>
      <w:r w:rsidR="00D11917">
        <w:rPr>
          <w:rFonts w:ascii="宋体" w:hAnsi="宋体" w:hint="eastAsia"/>
          <w:b/>
          <w:color w:val="000000" w:themeColor="text1"/>
          <w:sz w:val="28"/>
          <w:szCs w:val="28"/>
        </w:rPr>
        <w:t>9</w:t>
      </w:r>
      <w:r>
        <w:rPr>
          <w:rFonts w:ascii="宋体" w:hAnsi="宋体"/>
          <w:b/>
          <w:color w:val="000000" w:themeColor="text1"/>
          <w:sz w:val="28"/>
          <w:szCs w:val="28"/>
        </w:rPr>
        <w:t>月</w:t>
      </w:r>
      <w:r w:rsidR="00050986" w:rsidRPr="0018122A">
        <w:rPr>
          <w:rFonts w:ascii="宋体" w:hAnsi="宋体" w:hint="eastAsia"/>
          <w:b/>
          <w:color w:val="000000" w:themeColor="text1"/>
          <w:sz w:val="28"/>
          <w:szCs w:val="28"/>
        </w:rPr>
        <w:t>和龙法院诉讼案件收结案同比统计表</w:t>
      </w:r>
    </w:p>
    <w:bookmarkStart w:id="11" w:name="_MON_1632137729"/>
    <w:bookmarkEnd w:id="11"/>
    <w:p w:rsidR="00C71530" w:rsidRDefault="00D11917" w:rsidP="00D11917">
      <w:pPr>
        <w:pStyle w:val="12"/>
        <w:ind w:leftChars="-1" w:hanging="2"/>
        <w:rPr>
          <w:rFonts w:cs="宋体"/>
          <w:b w:val="0"/>
          <w:color w:val="000000" w:themeColor="text1"/>
          <w:kern w:val="0"/>
          <w:sz w:val="24"/>
          <w:szCs w:val="24"/>
        </w:rPr>
      </w:pPr>
      <w:r w:rsidRPr="00264E9C">
        <w:rPr>
          <w:rFonts w:cs="宋体"/>
          <w:b w:val="0"/>
          <w:color w:val="000000" w:themeColor="text1"/>
          <w:kern w:val="0"/>
          <w:sz w:val="24"/>
          <w:szCs w:val="24"/>
        </w:rPr>
        <w:object w:dxaOrig="7479" w:dyaOrig="2553">
          <v:shape id="_x0000_i1026" type="#_x0000_t75" style="width:442.7pt;height:144.75pt" o:ole="">
            <v:imagedata r:id="rId15" o:title=""/>
          </v:shape>
          <o:OLEObject Type="Embed" ProgID="Excel.Sheet.12" ShapeID="_x0000_i1026" DrawAspect="Content" ObjectID="_1635750006" r:id="rId16"/>
        </w:object>
      </w:r>
    </w:p>
    <w:p w:rsidR="001317C9" w:rsidRPr="006D19A3" w:rsidRDefault="001317C9" w:rsidP="0050661F">
      <w:pPr>
        <w:pStyle w:val="12"/>
        <w:rPr>
          <w:rFonts w:cs="宋体"/>
          <w:b w:val="0"/>
          <w:color w:val="000000" w:themeColor="text1"/>
          <w:kern w:val="0"/>
          <w:sz w:val="24"/>
          <w:szCs w:val="24"/>
        </w:rPr>
      </w:pPr>
    </w:p>
    <w:p w:rsidR="00025DAE" w:rsidRPr="0018122A" w:rsidRDefault="00050986">
      <w:pPr>
        <w:pStyle w:val="1"/>
        <w:rPr>
          <w:color w:val="000000" w:themeColor="text1"/>
        </w:rPr>
      </w:pPr>
      <w:r w:rsidRPr="0018122A">
        <w:rPr>
          <w:rFonts w:hint="eastAsia"/>
          <w:color w:val="000000" w:themeColor="text1"/>
        </w:rPr>
        <w:t xml:space="preserve">    </w:t>
      </w:r>
      <w:bookmarkStart w:id="12" w:name="_Toc512002110"/>
      <w:bookmarkStart w:id="13" w:name="_Toc512002180"/>
      <w:bookmarkStart w:id="14" w:name="_Toc511998399"/>
      <w:bookmarkStart w:id="15" w:name="_Toc25137259"/>
      <w:r w:rsidRPr="0018122A">
        <w:rPr>
          <w:rFonts w:hint="eastAsia"/>
          <w:color w:val="000000" w:themeColor="text1"/>
        </w:rPr>
        <w:t>三、</w:t>
      </w:r>
      <w:r w:rsidR="00D935EA">
        <w:rPr>
          <w:rFonts w:hint="eastAsia"/>
          <w:color w:val="000000" w:themeColor="text1"/>
        </w:rPr>
        <w:t>2019</w:t>
      </w:r>
      <w:r w:rsidR="00D935EA">
        <w:rPr>
          <w:rFonts w:hint="eastAsia"/>
          <w:color w:val="000000" w:themeColor="text1"/>
        </w:rPr>
        <w:t>年</w:t>
      </w:r>
      <w:r w:rsidR="00D935EA">
        <w:rPr>
          <w:rFonts w:hint="eastAsia"/>
          <w:color w:val="000000" w:themeColor="text1"/>
        </w:rPr>
        <w:t>1-</w:t>
      </w:r>
      <w:r w:rsidR="003F7962">
        <w:rPr>
          <w:rFonts w:hint="eastAsia"/>
          <w:color w:val="000000" w:themeColor="text1"/>
        </w:rPr>
        <w:t>9</w:t>
      </w:r>
      <w:r w:rsidR="00D935EA">
        <w:rPr>
          <w:rFonts w:hint="eastAsia"/>
          <w:color w:val="000000" w:themeColor="text1"/>
        </w:rPr>
        <w:t>月</w:t>
      </w:r>
      <w:r w:rsidRPr="0018122A">
        <w:rPr>
          <w:rFonts w:hint="eastAsia"/>
          <w:color w:val="000000" w:themeColor="text1"/>
        </w:rPr>
        <w:t>和龙法院诉讼案件新收情况</w:t>
      </w:r>
      <w:bookmarkEnd w:id="12"/>
      <w:bookmarkEnd w:id="13"/>
      <w:bookmarkEnd w:id="14"/>
      <w:bookmarkEnd w:id="15"/>
    </w:p>
    <w:p w:rsidR="00025DAE" w:rsidRPr="0018122A" w:rsidRDefault="00050986" w:rsidP="00C62A9C">
      <w:pPr>
        <w:pStyle w:val="2"/>
        <w:rPr>
          <w:rFonts w:hint="eastAsia"/>
          <w:color w:val="000000" w:themeColor="text1"/>
        </w:rPr>
      </w:pPr>
      <w:r w:rsidRPr="0018122A">
        <w:rPr>
          <w:rFonts w:hint="eastAsia"/>
          <w:color w:val="000000" w:themeColor="text1"/>
        </w:rPr>
        <w:t xml:space="preserve">    </w:t>
      </w:r>
      <w:bookmarkStart w:id="16" w:name="_Toc512002181"/>
      <w:bookmarkStart w:id="17" w:name="_Toc512002111"/>
      <w:bookmarkStart w:id="18" w:name="_Toc511998400"/>
      <w:bookmarkStart w:id="19" w:name="_Toc25137260"/>
      <w:r w:rsidRPr="0018122A">
        <w:rPr>
          <w:rFonts w:hint="eastAsia"/>
          <w:color w:val="000000" w:themeColor="text1"/>
        </w:rPr>
        <w:t>（一）</w:t>
      </w:r>
      <w:r w:rsidR="00D935EA">
        <w:rPr>
          <w:rFonts w:hint="eastAsia"/>
          <w:color w:val="000000" w:themeColor="text1"/>
        </w:rPr>
        <w:t>2019</w:t>
      </w:r>
      <w:r w:rsidR="00D935EA">
        <w:rPr>
          <w:rFonts w:hint="eastAsia"/>
          <w:color w:val="000000" w:themeColor="text1"/>
        </w:rPr>
        <w:t>年</w:t>
      </w:r>
      <w:r w:rsidR="00D935EA">
        <w:rPr>
          <w:rFonts w:hint="eastAsia"/>
          <w:color w:val="000000" w:themeColor="text1"/>
        </w:rPr>
        <w:t>1-</w:t>
      </w:r>
      <w:r w:rsidR="003F7962">
        <w:rPr>
          <w:rFonts w:hint="eastAsia"/>
          <w:color w:val="000000" w:themeColor="text1"/>
        </w:rPr>
        <w:t>9</w:t>
      </w:r>
      <w:r w:rsidR="00D935EA">
        <w:rPr>
          <w:rFonts w:hint="eastAsia"/>
          <w:color w:val="000000" w:themeColor="text1"/>
        </w:rPr>
        <w:t>月</w:t>
      </w:r>
      <w:r w:rsidRPr="0018122A">
        <w:rPr>
          <w:rFonts w:hint="eastAsia"/>
          <w:color w:val="000000" w:themeColor="text1"/>
        </w:rPr>
        <w:t>和龙法院诉讼案件新收类型分布情况</w:t>
      </w:r>
      <w:bookmarkEnd w:id="16"/>
      <w:bookmarkEnd w:id="17"/>
      <w:bookmarkEnd w:id="18"/>
      <w:bookmarkEnd w:id="19"/>
    </w:p>
    <w:p w:rsidR="00025DAE" w:rsidRPr="0018122A" w:rsidRDefault="00D935EA">
      <w:pPr>
        <w:spacing w:line="360" w:lineRule="auto"/>
        <w:ind w:firstLine="573"/>
        <w:rPr>
          <w:rFonts w:ascii="仿宋" w:eastAsia="仿宋" w:hAnsi="仿宋"/>
          <w:color w:val="000000" w:themeColor="text1"/>
          <w:sz w:val="28"/>
          <w:szCs w:val="28"/>
        </w:rPr>
      </w:pPr>
      <w:r>
        <w:rPr>
          <w:rFonts w:ascii="仿宋" w:eastAsia="仿宋" w:hAnsi="仿宋" w:hint="eastAsia"/>
          <w:color w:val="000000" w:themeColor="text1"/>
          <w:sz w:val="28"/>
          <w:szCs w:val="28"/>
        </w:rPr>
        <w:t>2019年1-</w:t>
      </w:r>
      <w:r w:rsidR="003F7962">
        <w:rPr>
          <w:rFonts w:ascii="仿宋" w:eastAsia="仿宋" w:hAnsi="仿宋" w:hint="eastAsia"/>
          <w:color w:val="000000" w:themeColor="text1"/>
          <w:sz w:val="28"/>
          <w:szCs w:val="28"/>
        </w:rPr>
        <w:t>9</w:t>
      </w:r>
      <w:r>
        <w:rPr>
          <w:rFonts w:ascii="仿宋" w:eastAsia="仿宋" w:hAnsi="仿宋" w:hint="eastAsia"/>
          <w:color w:val="000000" w:themeColor="text1"/>
          <w:sz w:val="28"/>
          <w:szCs w:val="28"/>
        </w:rPr>
        <w:t>月</w:t>
      </w:r>
      <w:r w:rsidR="00050986" w:rsidRPr="0018122A">
        <w:rPr>
          <w:rFonts w:ascii="仿宋" w:eastAsia="仿宋" w:hAnsi="仿宋" w:hint="eastAsia"/>
          <w:color w:val="000000" w:themeColor="text1"/>
          <w:sz w:val="28"/>
          <w:szCs w:val="28"/>
        </w:rPr>
        <w:t>和龙法院共新收诉讼案件</w:t>
      </w:r>
      <w:r w:rsidR="003F7962">
        <w:rPr>
          <w:rFonts w:ascii="仿宋" w:eastAsia="仿宋" w:hAnsi="仿宋" w:hint="eastAsia"/>
          <w:color w:val="000000" w:themeColor="text1"/>
          <w:sz w:val="28"/>
          <w:szCs w:val="28"/>
        </w:rPr>
        <w:t>1086</w:t>
      </w:r>
      <w:r w:rsidR="00050986" w:rsidRPr="0018122A">
        <w:rPr>
          <w:rFonts w:ascii="仿宋" w:eastAsia="仿宋" w:hAnsi="仿宋" w:hint="eastAsia"/>
          <w:color w:val="000000" w:themeColor="text1"/>
          <w:sz w:val="28"/>
          <w:szCs w:val="28"/>
        </w:rPr>
        <w:t>件，与去年同期相比</w:t>
      </w:r>
      <w:r w:rsidR="0063618F">
        <w:rPr>
          <w:rFonts w:ascii="仿宋" w:eastAsia="仿宋" w:hAnsi="仿宋" w:hint="eastAsia"/>
          <w:color w:val="000000" w:themeColor="text1"/>
          <w:sz w:val="28"/>
          <w:szCs w:val="28"/>
        </w:rPr>
        <w:t>增加</w:t>
      </w:r>
      <w:r w:rsidR="00EF2EE0">
        <w:rPr>
          <w:rFonts w:ascii="仿宋" w:eastAsia="仿宋" w:hAnsi="仿宋" w:hint="eastAsia"/>
          <w:color w:val="000000" w:themeColor="text1"/>
          <w:sz w:val="28"/>
          <w:szCs w:val="28"/>
        </w:rPr>
        <w:t>11</w:t>
      </w:r>
      <w:r w:rsidR="003F7962">
        <w:rPr>
          <w:rFonts w:ascii="仿宋" w:eastAsia="仿宋" w:hAnsi="仿宋" w:hint="eastAsia"/>
          <w:color w:val="000000" w:themeColor="text1"/>
          <w:sz w:val="28"/>
          <w:szCs w:val="28"/>
        </w:rPr>
        <w:t>8</w:t>
      </w:r>
      <w:r w:rsidR="00050986" w:rsidRPr="0018122A">
        <w:rPr>
          <w:rFonts w:ascii="仿宋" w:eastAsia="仿宋" w:hAnsi="仿宋" w:hint="eastAsia"/>
          <w:color w:val="000000" w:themeColor="text1"/>
          <w:sz w:val="28"/>
          <w:szCs w:val="28"/>
        </w:rPr>
        <w:t>件，</w:t>
      </w:r>
      <w:r w:rsidR="0063618F">
        <w:rPr>
          <w:rFonts w:ascii="仿宋" w:eastAsia="仿宋" w:hAnsi="仿宋" w:hint="eastAsia"/>
          <w:color w:val="000000" w:themeColor="text1"/>
          <w:sz w:val="28"/>
          <w:szCs w:val="28"/>
        </w:rPr>
        <w:t>上升</w:t>
      </w:r>
      <w:r w:rsidR="003F7962">
        <w:rPr>
          <w:rFonts w:ascii="仿宋" w:eastAsia="仿宋" w:hAnsi="仿宋" w:hint="eastAsia"/>
          <w:color w:val="000000" w:themeColor="text1"/>
          <w:sz w:val="28"/>
          <w:szCs w:val="28"/>
        </w:rPr>
        <w:t>12.19</w:t>
      </w:r>
      <w:r w:rsidR="00050986" w:rsidRPr="0018122A">
        <w:rPr>
          <w:rFonts w:ascii="仿宋" w:eastAsia="仿宋" w:hAnsi="仿宋" w:hint="eastAsia"/>
          <w:color w:val="000000" w:themeColor="text1"/>
          <w:sz w:val="28"/>
          <w:szCs w:val="28"/>
        </w:rPr>
        <w:t>%。</w:t>
      </w:r>
    </w:p>
    <w:p w:rsidR="00025DAE" w:rsidRPr="0018122A" w:rsidRDefault="00050986">
      <w:pPr>
        <w:pStyle w:val="2"/>
        <w:rPr>
          <w:rFonts w:hint="eastAsia"/>
          <w:color w:val="000000" w:themeColor="text1"/>
        </w:rPr>
      </w:pPr>
      <w:r w:rsidRPr="0018122A">
        <w:rPr>
          <w:rFonts w:hint="eastAsia"/>
          <w:color w:val="000000" w:themeColor="text1"/>
        </w:rPr>
        <w:t xml:space="preserve">    </w:t>
      </w:r>
      <w:bookmarkStart w:id="20" w:name="_Toc512002183"/>
      <w:bookmarkStart w:id="21" w:name="_Toc511998402"/>
      <w:bookmarkStart w:id="22" w:name="_Toc512002113"/>
      <w:bookmarkStart w:id="23" w:name="_Toc25137261"/>
      <w:r w:rsidRPr="0018122A">
        <w:rPr>
          <w:rFonts w:hint="eastAsia"/>
          <w:color w:val="000000" w:themeColor="text1"/>
        </w:rPr>
        <w:t>（</w:t>
      </w:r>
      <w:r w:rsidR="00BB0E5D">
        <w:rPr>
          <w:rFonts w:hint="eastAsia"/>
          <w:color w:val="000000" w:themeColor="text1"/>
        </w:rPr>
        <w:t>二</w:t>
      </w:r>
      <w:r w:rsidRPr="0018122A">
        <w:rPr>
          <w:rFonts w:hint="eastAsia"/>
          <w:color w:val="000000" w:themeColor="text1"/>
        </w:rPr>
        <w:t>）</w:t>
      </w:r>
      <w:r w:rsidR="00D935EA">
        <w:rPr>
          <w:rFonts w:hint="eastAsia"/>
          <w:color w:val="000000" w:themeColor="text1"/>
        </w:rPr>
        <w:t>2019</w:t>
      </w:r>
      <w:r w:rsidR="00D935EA">
        <w:rPr>
          <w:rFonts w:hint="eastAsia"/>
          <w:color w:val="000000" w:themeColor="text1"/>
        </w:rPr>
        <w:t>年</w:t>
      </w:r>
      <w:r w:rsidR="00D935EA">
        <w:rPr>
          <w:rFonts w:hint="eastAsia"/>
          <w:color w:val="000000" w:themeColor="text1"/>
        </w:rPr>
        <w:t>1-</w:t>
      </w:r>
      <w:r w:rsidR="00AD19A1">
        <w:rPr>
          <w:rFonts w:hint="eastAsia"/>
          <w:color w:val="000000" w:themeColor="text1"/>
        </w:rPr>
        <w:t>9</w:t>
      </w:r>
      <w:r w:rsidR="00D935EA">
        <w:rPr>
          <w:rFonts w:hint="eastAsia"/>
          <w:color w:val="000000" w:themeColor="text1"/>
        </w:rPr>
        <w:t>月</w:t>
      </w:r>
      <w:r w:rsidRPr="0018122A">
        <w:rPr>
          <w:rFonts w:hint="eastAsia"/>
          <w:color w:val="000000" w:themeColor="text1"/>
        </w:rPr>
        <w:t>和龙法院新收诉讼案件案由、罪名情况</w:t>
      </w:r>
      <w:bookmarkEnd w:id="20"/>
      <w:bookmarkEnd w:id="21"/>
      <w:bookmarkEnd w:id="22"/>
      <w:bookmarkEnd w:id="23"/>
    </w:p>
    <w:p w:rsidR="00025DAE" w:rsidRPr="0018122A" w:rsidRDefault="00050986" w:rsidP="008C7592">
      <w:pPr>
        <w:ind w:firstLine="555"/>
        <w:rPr>
          <w:rFonts w:ascii="宋体" w:hAnsi="宋体"/>
          <w:color w:val="000000" w:themeColor="text1"/>
          <w:sz w:val="28"/>
          <w:szCs w:val="28"/>
        </w:rPr>
      </w:pPr>
      <w:r w:rsidRPr="0018122A">
        <w:rPr>
          <w:rFonts w:ascii="宋体" w:hAnsi="宋体" w:hint="eastAsia"/>
          <w:color w:val="000000" w:themeColor="text1"/>
          <w:sz w:val="28"/>
          <w:szCs w:val="28"/>
        </w:rPr>
        <w:t>和龙法院新收民事案件</w:t>
      </w:r>
      <w:r w:rsidR="00AD19A1">
        <w:rPr>
          <w:rFonts w:ascii="宋体" w:hAnsi="宋体" w:hint="eastAsia"/>
          <w:color w:val="000000" w:themeColor="text1"/>
          <w:sz w:val="28"/>
          <w:szCs w:val="28"/>
        </w:rPr>
        <w:t>927</w:t>
      </w:r>
      <w:r w:rsidR="00947FFD" w:rsidRPr="0018122A">
        <w:rPr>
          <w:rFonts w:ascii="宋体" w:hAnsi="宋体" w:hint="eastAsia"/>
          <w:color w:val="000000" w:themeColor="text1"/>
          <w:sz w:val="28"/>
          <w:szCs w:val="28"/>
        </w:rPr>
        <w:t>件</w:t>
      </w:r>
      <w:r w:rsidR="00AA1A8C" w:rsidRPr="0018122A">
        <w:rPr>
          <w:rFonts w:ascii="宋体" w:hAnsi="宋体" w:hint="eastAsia"/>
          <w:color w:val="000000" w:themeColor="text1"/>
          <w:sz w:val="28"/>
          <w:szCs w:val="28"/>
        </w:rPr>
        <w:t>，</w:t>
      </w:r>
      <w:r w:rsidRPr="0018122A">
        <w:rPr>
          <w:rFonts w:ascii="宋体" w:hAnsi="宋体" w:hint="eastAsia"/>
          <w:color w:val="000000" w:themeColor="text1"/>
          <w:sz w:val="28"/>
          <w:szCs w:val="28"/>
        </w:rPr>
        <w:t>分为</w:t>
      </w:r>
      <w:r w:rsidR="004C7673">
        <w:rPr>
          <w:rFonts w:ascii="宋体" w:hAnsi="宋体" w:hint="eastAsia"/>
          <w:color w:val="000000" w:themeColor="text1"/>
          <w:sz w:val="28"/>
          <w:szCs w:val="28"/>
        </w:rPr>
        <w:t>8</w:t>
      </w:r>
      <w:r w:rsidRPr="0018122A">
        <w:rPr>
          <w:rFonts w:ascii="宋体" w:hAnsi="宋体" w:hint="eastAsia"/>
          <w:color w:val="000000" w:themeColor="text1"/>
          <w:sz w:val="28"/>
          <w:szCs w:val="28"/>
        </w:rPr>
        <w:t>个案由，新收民事案件案由统计具体如下：</w:t>
      </w:r>
    </w:p>
    <w:p w:rsidR="00025DAE" w:rsidRPr="0018122A" w:rsidRDefault="00050986">
      <w:pPr>
        <w:spacing w:line="360" w:lineRule="auto"/>
        <w:jc w:val="center"/>
        <w:rPr>
          <w:rFonts w:ascii="宋体" w:hAnsi="宋体"/>
          <w:b/>
          <w:color w:val="000000" w:themeColor="text1"/>
          <w:sz w:val="28"/>
          <w:szCs w:val="28"/>
        </w:rPr>
      </w:pPr>
      <w:r w:rsidRPr="0018122A">
        <w:rPr>
          <w:rFonts w:ascii="宋体" w:hAnsi="宋体" w:hint="eastAsia"/>
          <w:b/>
          <w:color w:val="000000" w:themeColor="text1"/>
          <w:sz w:val="28"/>
          <w:szCs w:val="28"/>
        </w:rPr>
        <w:t xml:space="preserve">      </w:t>
      </w:r>
      <w:r w:rsidR="00D935EA">
        <w:rPr>
          <w:rFonts w:ascii="宋体" w:hAnsi="宋体" w:hint="eastAsia"/>
          <w:b/>
          <w:color w:val="000000" w:themeColor="text1"/>
          <w:sz w:val="28"/>
          <w:szCs w:val="28"/>
        </w:rPr>
        <w:t>2019年1-</w:t>
      </w:r>
      <w:r w:rsidR="00AD19A1">
        <w:rPr>
          <w:rFonts w:ascii="宋体" w:hAnsi="宋体" w:hint="eastAsia"/>
          <w:b/>
          <w:color w:val="000000" w:themeColor="text1"/>
          <w:sz w:val="28"/>
          <w:szCs w:val="28"/>
        </w:rPr>
        <w:t>9</w:t>
      </w:r>
      <w:r w:rsidR="00D935EA">
        <w:rPr>
          <w:rFonts w:ascii="宋体" w:hAnsi="宋体" w:hint="eastAsia"/>
          <w:b/>
          <w:color w:val="000000" w:themeColor="text1"/>
          <w:sz w:val="28"/>
          <w:szCs w:val="28"/>
        </w:rPr>
        <w:t>月</w:t>
      </w:r>
      <w:r w:rsidRPr="0018122A">
        <w:rPr>
          <w:rFonts w:ascii="宋体" w:hAnsi="宋体" w:hint="eastAsia"/>
          <w:b/>
          <w:color w:val="000000" w:themeColor="text1"/>
          <w:sz w:val="28"/>
          <w:szCs w:val="28"/>
        </w:rPr>
        <w:t>和龙法院新收民事案件案由统计表</w:t>
      </w:r>
    </w:p>
    <w:tbl>
      <w:tblPr>
        <w:tblW w:w="9262" w:type="dxa"/>
        <w:tblInd w:w="93" w:type="dxa"/>
        <w:tblLook w:val="04A0"/>
      </w:tblPr>
      <w:tblGrid>
        <w:gridCol w:w="964"/>
        <w:gridCol w:w="2727"/>
        <w:gridCol w:w="1669"/>
        <w:gridCol w:w="1951"/>
        <w:gridCol w:w="1951"/>
      </w:tblGrid>
      <w:tr w:rsidR="006F1E40" w:rsidRPr="0018122A" w:rsidTr="00A574BC">
        <w:trPr>
          <w:trHeight w:val="545"/>
        </w:trPr>
        <w:tc>
          <w:tcPr>
            <w:tcW w:w="96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F1E40" w:rsidRPr="0018122A" w:rsidRDefault="006F1E40" w:rsidP="00A574BC">
            <w:pPr>
              <w:jc w:val="center"/>
              <w:rPr>
                <w:rFonts w:ascii="Arial" w:hAnsi="Arial" w:cs="Arial"/>
                <w:b/>
                <w:bCs/>
                <w:color w:val="000000" w:themeColor="text1"/>
                <w:sz w:val="20"/>
                <w:szCs w:val="20"/>
              </w:rPr>
            </w:pPr>
            <w:r w:rsidRPr="0018122A">
              <w:rPr>
                <w:rFonts w:ascii="Arial" w:hAnsi="Arial" w:cs="Arial"/>
                <w:b/>
                <w:bCs/>
                <w:color w:val="000000" w:themeColor="text1"/>
                <w:sz w:val="20"/>
                <w:szCs w:val="20"/>
              </w:rPr>
              <w:t>序号</w:t>
            </w:r>
          </w:p>
        </w:tc>
        <w:tc>
          <w:tcPr>
            <w:tcW w:w="2727" w:type="dxa"/>
            <w:tcBorders>
              <w:top w:val="single" w:sz="4" w:space="0" w:color="000000"/>
              <w:left w:val="nil"/>
              <w:bottom w:val="single" w:sz="4" w:space="0" w:color="000000"/>
              <w:right w:val="single" w:sz="4" w:space="0" w:color="000000"/>
            </w:tcBorders>
            <w:shd w:val="clear" w:color="000000" w:fill="FFFFFF"/>
            <w:vAlign w:val="center"/>
            <w:hideMark/>
          </w:tcPr>
          <w:p w:rsidR="006F1E40" w:rsidRPr="0018122A" w:rsidRDefault="006F1E40" w:rsidP="00A574BC">
            <w:pPr>
              <w:jc w:val="center"/>
              <w:rPr>
                <w:rFonts w:ascii="Arial" w:hAnsi="Arial" w:cs="Arial"/>
                <w:b/>
                <w:bCs/>
                <w:color w:val="000000" w:themeColor="text1"/>
                <w:sz w:val="20"/>
                <w:szCs w:val="20"/>
              </w:rPr>
            </w:pPr>
            <w:r w:rsidRPr="0018122A">
              <w:rPr>
                <w:rFonts w:ascii="Arial" w:hAnsi="Arial" w:cs="Arial"/>
                <w:b/>
                <w:bCs/>
                <w:color w:val="000000" w:themeColor="text1"/>
                <w:sz w:val="20"/>
                <w:szCs w:val="20"/>
              </w:rPr>
              <w:t>案由</w:t>
            </w:r>
          </w:p>
        </w:tc>
        <w:tc>
          <w:tcPr>
            <w:tcW w:w="1669" w:type="dxa"/>
            <w:tcBorders>
              <w:top w:val="single" w:sz="4" w:space="0" w:color="000000"/>
              <w:left w:val="nil"/>
              <w:bottom w:val="single" w:sz="4" w:space="0" w:color="000000"/>
              <w:right w:val="single" w:sz="4" w:space="0" w:color="000000"/>
            </w:tcBorders>
            <w:shd w:val="clear" w:color="000000" w:fill="FFFFFF"/>
            <w:vAlign w:val="center"/>
            <w:hideMark/>
          </w:tcPr>
          <w:p w:rsidR="006F1E40" w:rsidRPr="0018122A" w:rsidRDefault="006F1E40" w:rsidP="00A574BC">
            <w:pPr>
              <w:jc w:val="center"/>
              <w:rPr>
                <w:rFonts w:ascii="Arial" w:hAnsi="Arial" w:cs="Arial"/>
                <w:b/>
                <w:bCs/>
                <w:color w:val="000000" w:themeColor="text1"/>
                <w:sz w:val="20"/>
                <w:szCs w:val="20"/>
              </w:rPr>
            </w:pPr>
            <w:r w:rsidRPr="0018122A">
              <w:rPr>
                <w:rFonts w:ascii="Arial" w:hAnsi="Arial" w:cs="Arial"/>
                <w:b/>
                <w:bCs/>
                <w:color w:val="000000" w:themeColor="text1"/>
                <w:sz w:val="20"/>
                <w:szCs w:val="20"/>
              </w:rPr>
              <w:t>新收</w:t>
            </w:r>
          </w:p>
        </w:tc>
        <w:tc>
          <w:tcPr>
            <w:tcW w:w="1951" w:type="dxa"/>
            <w:tcBorders>
              <w:top w:val="single" w:sz="4" w:space="0" w:color="000000"/>
              <w:left w:val="nil"/>
              <w:bottom w:val="single" w:sz="4" w:space="0" w:color="000000"/>
              <w:right w:val="single" w:sz="4" w:space="0" w:color="000000"/>
            </w:tcBorders>
            <w:shd w:val="clear" w:color="000000" w:fill="FFFFFF"/>
            <w:vAlign w:val="center"/>
            <w:hideMark/>
          </w:tcPr>
          <w:p w:rsidR="006F1E40" w:rsidRPr="0018122A" w:rsidRDefault="006F1E40" w:rsidP="00A574BC">
            <w:pPr>
              <w:widowControl/>
              <w:jc w:val="center"/>
              <w:rPr>
                <w:rFonts w:ascii="宋体" w:hAnsi="宋体" w:cs="Arial"/>
                <w:b/>
                <w:bCs/>
                <w:color w:val="000000" w:themeColor="text1"/>
                <w:kern w:val="0"/>
                <w:sz w:val="22"/>
                <w:szCs w:val="22"/>
              </w:rPr>
            </w:pPr>
            <w:r w:rsidRPr="0018122A">
              <w:rPr>
                <w:rFonts w:ascii="宋体" w:hAnsi="宋体" w:cs="Arial" w:hint="eastAsia"/>
                <w:b/>
                <w:bCs/>
                <w:color w:val="000000" w:themeColor="text1"/>
                <w:kern w:val="0"/>
                <w:sz w:val="22"/>
                <w:szCs w:val="22"/>
              </w:rPr>
              <w:t>案件总数</w:t>
            </w:r>
          </w:p>
        </w:tc>
        <w:tc>
          <w:tcPr>
            <w:tcW w:w="1951" w:type="dxa"/>
            <w:tcBorders>
              <w:top w:val="single" w:sz="4" w:space="0" w:color="000000"/>
              <w:left w:val="nil"/>
              <w:bottom w:val="single" w:sz="4" w:space="0" w:color="000000"/>
              <w:right w:val="single" w:sz="4" w:space="0" w:color="000000"/>
            </w:tcBorders>
            <w:shd w:val="clear" w:color="000000" w:fill="FFFFFF"/>
            <w:vAlign w:val="center"/>
            <w:hideMark/>
          </w:tcPr>
          <w:p w:rsidR="006F1E40" w:rsidRPr="0018122A" w:rsidRDefault="006F1E40" w:rsidP="00A574BC">
            <w:pPr>
              <w:widowControl/>
              <w:jc w:val="center"/>
              <w:rPr>
                <w:rFonts w:ascii="宋体" w:hAnsi="宋体" w:cs="Arial"/>
                <w:b/>
                <w:bCs/>
                <w:color w:val="000000" w:themeColor="text1"/>
                <w:kern w:val="0"/>
                <w:sz w:val="22"/>
                <w:szCs w:val="22"/>
              </w:rPr>
            </w:pPr>
            <w:r w:rsidRPr="0018122A">
              <w:rPr>
                <w:rFonts w:ascii="宋体" w:hAnsi="宋体" w:cs="Arial" w:hint="eastAsia"/>
                <w:b/>
                <w:bCs/>
                <w:color w:val="000000" w:themeColor="text1"/>
                <w:kern w:val="0"/>
                <w:sz w:val="22"/>
                <w:szCs w:val="22"/>
              </w:rPr>
              <w:t>占比</w:t>
            </w:r>
          </w:p>
        </w:tc>
      </w:tr>
      <w:tr w:rsidR="00AD19A1" w:rsidRPr="0018122A" w:rsidTr="00AD19A1">
        <w:trPr>
          <w:trHeight w:val="520"/>
        </w:trPr>
        <w:tc>
          <w:tcPr>
            <w:tcW w:w="964" w:type="dxa"/>
            <w:tcBorders>
              <w:top w:val="nil"/>
              <w:left w:val="single" w:sz="4" w:space="0" w:color="000000"/>
              <w:bottom w:val="single" w:sz="4" w:space="0" w:color="000000"/>
              <w:right w:val="single" w:sz="4" w:space="0" w:color="000000"/>
            </w:tcBorders>
            <w:shd w:val="clear" w:color="000000" w:fill="FFFFFF"/>
            <w:vAlign w:val="center"/>
            <w:hideMark/>
          </w:tcPr>
          <w:p w:rsidR="00AD19A1" w:rsidRDefault="00AD19A1" w:rsidP="00AD19A1">
            <w:pPr>
              <w:jc w:val="center"/>
              <w:rPr>
                <w:rFonts w:ascii="Arial" w:hAnsi="Arial" w:cs="Arial"/>
                <w:color w:val="000000"/>
                <w:sz w:val="20"/>
                <w:szCs w:val="20"/>
              </w:rPr>
            </w:pPr>
            <w:r>
              <w:rPr>
                <w:rFonts w:ascii="Arial" w:hAnsi="Arial" w:cs="Arial"/>
                <w:color w:val="000000"/>
                <w:sz w:val="20"/>
                <w:szCs w:val="20"/>
              </w:rPr>
              <w:t>1</w:t>
            </w:r>
          </w:p>
        </w:tc>
        <w:tc>
          <w:tcPr>
            <w:tcW w:w="2727" w:type="dxa"/>
            <w:tcBorders>
              <w:top w:val="nil"/>
              <w:left w:val="nil"/>
              <w:bottom w:val="single" w:sz="4" w:space="0" w:color="000000"/>
              <w:right w:val="single" w:sz="4" w:space="0" w:color="000000"/>
            </w:tcBorders>
            <w:shd w:val="clear" w:color="000000" w:fill="FFFFFF"/>
            <w:vAlign w:val="center"/>
            <w:hideMark/>
          </w:tcPr>
          <w:p w:rsidR="00AD19A1" w:rsidRDefault="00AD19A1" w:rsidP="00AD19A1">
            <w:pPr>
              <w:jc w:val="center"/>
              <w:rPr>
                <w:rFonts w:ascii="Arial" w:hAnsi="Arial" w:cs="Arial"/>
                <w:color w:val="000000"/>
                <w:sz w:val="20"/>
                <w:szCs w:val="20"/>
              </w:rPr>
            </w:pPr>
            <w:r>
              <w:rPr>
                <w:rFonts w:ascii="Arial" w:hAnsi="Arial" w:cs="Arial"/>
                <w:color w:val="000000"/>
                <w:sz w:val="20"/>
                <w:szCs w:val="20"/>
              </w:rPr>
              <w:t>劳动争议、人事争议</w:t>
            </w:r>
          </w:p>
        </w:tc>
        <w:tc>
          <w:tcPr>
            <w:tcW w:w="1669" w:type="dxa"/>
            <w:tcBorders>
              <w:top w:val="nil"/>
              <w:left w:val="nil"/>
              <w:bottom w:val="single" w:sz="4" w:space="0" w:color="000000"/>
              <w:right w:val="single" w:sz="4" w:space="0" w:color="000000"/>
            </w:tcBorders>
            <w:shd w:val="clear" w:color="000000" w:fill="FFFFFF"/>
            <w:vAlign w:val="center"/>
            <w:hideMark/>
          </w:tcPr>
          <w:p w:rsidR="00AD19A1" w:rsidRDefault="00AD19A1" w:rsidP="00AD19A1">
            <w:pPr>
              <w:jc w:val="center"/>
              <w:rPr>
                <w:rFonts w:ascii="Arial" w:hAnsi="Arial" w:cs="Arial"/>
                <w:color w:val="000000"/>
                <w:sz w:val="20"/>
                <w:szCs w:val="20"/>
              </w:rPr>
            </w:pPr>
            <w:r>
              <w:rPr>
                <w:rFonts w:ascii="Arial" w:hAnsi="Arial" w:cs="Arial"/>
                <w:color w:val="000000"/>
                <w:sz w:val="20"/>
                <w:szCs w:val="20"/>
              </w:rPr>
              <w:t>8</w:t>
            </w:r>
          </w:p>
        </w:tc>
        <w:tc>
          <w:tcPr>
            <w:tcW w:w="1951" w:type="dxa"/>
            <w:tcBorders>
              <w:top w:val="nil"/>
              <w:left w:val="nil"/>
              <w:bottom w:val="single" w:sz="4" w:space="0" w:color="000000"/>
              <w:right w:val="single" w:sz="4" w:space="0" w:color="000000"/>
            </w:tcBorders>
            <w:shd w:val="clear" w:color="000000" w:fill="FFFFFF"/>
            <w:vAlign w:val="center"/>
            <w:hideMark/>
          </w:tcPr>
          <w:p w:rsidR="00AD19A1" w:rsidRDefault="00AD19A1" w:rsidP="00AD19A1">
            <w:pPr>
              <w:jc w:val="center"/>
              <w:rPr>
                <w:rFonts w:ascii="Arial" w:hAnsi="Arial" w:cs="Arial"/>
                <w:color w:val="000000"/>
                <w:sz w:val="20"/>
                <w:szCs w:val="20"/>
              </w:rPr>
            </w:pPr>
            <w:r>
              <w:rPr>
                <w:rFonts w:ascii="Arial" w:hAnsi="Arial" w:cs="Arial"/>
                <w:color w:val="000000"/>
                <w:sz w:val="20"/>
                <w:szCs w:val="20"/>
              </w:rPr>
              <w:t>927</w:t>
            </w:r>
          </w:p>
        </w:tc>
        <w:tc>
          <w:tcPr>
            <w:tcW w:w="1951" w:type="dxa"/>
            <w:tcBorders>
              <w:top w:val="nil"/>
              <w:left w:val="nil"/>
              <w:bottom w:val="single" w:sz="4" w:space="0" w:color="000000"/>
              <w:right w:val="single" w:sz="4" w:space="0" w:color="000000"/>
            </w:tcBorders>
            <w:shd w:val="clear" w:color="000000" w:fill="FFFFFF"/>
            <w:vAlign w:val="center"/>
            <w:hideMark/>
          </w:tcPr>
          <w:p w:rsidR="00AD19A1" w:rsidRDefault="00AD19A1" w:rsidP="00AD19A1">
            <w:pPr>
              <w:jc w:val="center"/>
              <w:rPr>
                <w:rFonts w:ascii="Arial" w:hAnsi="Arial" w:cs="Arial"/>
                <w:sz w:val="20"/>
                <w:szCs w:val="20"/>
              </w:rPr>
            </w:pPr>
            <w:r>
              <w:rPr>
                <w:rFonts w:ascii="Arial" w:hAnsi="Arial" w:cs="Arial"/>
                <w:sz w:val="20"/>
                <w:szCs w:val="20"/>
              </w:rPr>
              <w:t>0.86%</w:t>
            </w:r>
          </w:p>
        </w:tc>
      </w:tr>
      <w:tr w:rsidR="00AD19A1" w:rsidRPr="0018122A" w:rsidTr="00AD19A1">
        <w:trPr>
          <w:trHeight w:val="260"/>
        </w:trPr>
        <w:tc>
          <w:tcPr>
            <w:tcW w:w="964" w:type="dxa"/>
            <w:tcBorders>
              <w:top w:val="nil"/>
              <w:left w:val="single" w:sz="4" w:space="0" w:color="000000"/>
              <w:bottom w:val="single" w:sz="4" w:space="0" w:color="000000"/>
              <w:right w:val="single" w:sz="4" w:space="0" w:color="000000"/>
            </w:tcBorders>
            <w:shd w:val="clear" w:color="000000" w:fill="FFFFFF"/>
            <w:vAlign w:val="center"/>
            <w:hideMark/>
          </w:tcPr>
          <w:p w:rsidR="00AD19A1" w:rsidRDefault="00AD19A1" w:rsidP="00AD19A1">
            <w:pPr>
              <w:jc w:val="center"/>
              <w:rPr>
                <w:rFonts w:ascii="Arial" w:hAnsi="Arial" w:cs="Arial"/>
                <w:color w:val="000000"/>
                <w:sz w:val="20"/>
                <w:szCs w:val="20"/>
              </w:rPr>
            </w:pPr>
            <w:r>
              <w:rPr>
                <w:rFonts w:ascii="Arial" w:hAnsi="Arial" w:cs="Arial"/>
                <w:color w:val="000000"/>
                <w:sz w:val="20"/>
                <w:szCs w:val="20"/>
              </w:rPr>
              <w:t>2</w:t>
            </w:r>
          </w:p>
        </w:tc>
        <w:tc>
          <w:tcPr>
            <w:tcW w:w="2727" w:type="dxa"/>
            <w:tcBorders>
              <w:top w:val="nil"/>
              <w:left w:val="nil"/>
              <w:bottom w:val="single" w:sz="4" w:space="0" w:color="000000"/>
              <w:right w:val="single" w:sz="4" w:space="0" w:color="000000"/>
            </w:tcBorders>
            <w:shd w:val="clear" w:color="000000" w:fill="FFFFFF"/>
            <w:vAlign w:val="center"/>
            <w:hideMark/>
          </w:tcPr>
          <w:p w:rsidR="00AD19A1" w:rsidRDefault="00AD19A1" w:rsidP="00AD19A1">
            <w:pPr>
              <w:jc w:val="center"/>
              <w:rPr>
                <w:rFonts w:ascii="Arial" w:hAnsi="Arial" w:cs="Arial"/>
                <w:color w:val="000000"/>
                <w:sz w:val="20"/>
                <w:szCs w:val="20"/>
              </w:rPr>
            </w:pPr>
            <w:r>
              <w:rPr>
                <w:rFonts w:ascii="Arial" w:hAnsi="Arial" w:cs="Arial"/>
                <w:color w:val="000000"/>
                <w:sz w:val="20"/>
                <w:szCs w:val="20"/>
              </w:rPr>
              <w:t>与公司、证券、保险、票据等有关的民事纠纷</w:t>
            </w:r>
          </w:p>
        </w:tc>
        <w:tc>
          <w:tcPr>
            <w:tcW w:w="1669" w:type="dxa"/>
            <w:tcBorders>
              <w:top w:val="nil"/>
              <w:left w:val="nil"/>
              <w:bottom w:val="single" w:sz="4" w:space="0" w:color="000000"/>
              <w:right w:val="single" w:sz="4" w:space="0" w:color="000000"/>
            </w:tcBorders>
            <w:shd w:val="clear" w:color="000000" w:fill="FFFFFF"/>
            <w:vAlign w:val="center"/>
            <w:hideMark/>
          </w:tcPr>
          <w:p w:rsidR="00AD19A1" w:rsidRDefault="00AD19A1" w:rsidP="00AD19A1">
            <w:pPr>
              <w:jc w:val="center"/>
              <w:rPr>
                <w:rFonts w:ascii="Arial" w:hAnsi="Arial" w:cs="Arial"/>
                <w:color w:val="000000"/>
                <w:sz w:val="20"/>
                <w:szCs w:val="20"/>
              </w:rPr>
            </w:pPr>
            <w:r>
              <w:rPr>
                <w:rFonts w:ascii="Arial" w:hAnsi="Arial" w:cs="Arial"/>
                <w:color w:val="000000"/>
                <w:sz w:val="20"/>
                <w:szCs w:val="20"/>
              </w:rPr>
              <w:t>5</w:t>
            </w:r>
          </w:p>
        </w:tc>
        <w:tc>
          <w:tcPr>
            <w:tcW w:w="1951" w:type="dxa"/>
            <w:tcBorders>
              <w:top w:val="nil"/>
              <w:left w:val="nil"/>
              <w:bottom w:val="single" w:sz="4" w:space="0" w:color="000000"/>
              <w:right w:val="single" w:sz="4" w:space="0" w:color="000000"/>
            </w:tcBorders>
            <w:shd w:val="clear" w:color="000000" w:fill="FFFFFF"/>
            <w:vAlign w:val="center"/>
            <w:hideMark/>
          </w:tcPr>
          <w:p w:rsidR="00AD19A1" w:rsidRDefault="00AD19A1" w:rsidP="00AD19A1">
            <w:pPr>
              <w:jc w:val="center"/>
              <w:rPr>
                <w:rFonts w:ascii="Arial" w:hAnsi="Arial" w:cs="Arial"/>
                <w:color w:val="000000"/>
                <w:sz w:val="20"/>
                <w:szCs w:val="20"/>
              </w:rPr>
            </w:pPr>
            <w:r>
              <w:rPr>
                <w:rFonts w:ascii="Arial" w:hAnsi="Arial" w:cs="Arial"/>
                <w:color w:val="000000"/>
                <w:sz w:val="20"/>
                <w:szCs w:val="20"/>
              </w:rPr>
              <w:t>927</w:t>
            </w:r>
          </w:p>
        </w:tc>
        <w:tc>
          <w:tcPr>
            <w:tcW w:w="1951" w:type="dxa"/>
            <w:tcBorders>
              <w:top w:val="nil"/>
              <w:left w:val="nil"/>
              <w:bottom w:val="single" w:sz="4" w:space="0" w:color="000000"/>
              <w:right w:val="single" w:sz="4" w:space="0" w:color="000000"/>
            </w:tcBorders>
            <w:shd w:val="clear" w:color="000000" w:fill="FFFFFF"/>
            <w:vAlign w:val="center"/>
            <w:hideMark/>
          </w:tcPr>
          <w:p w:rsidR="00AD19A1" w:rsidRDefault="00AD19A1" w:rsidP="00AD19A1">
            <w:pPr>
              <w:jc w:val="center"/>
              <w:rPr>
                <w:rFonts w:ascii="Arial" w:hAnsi="Arial" w:cs="Arial"/>
                <w:sz w:val="20"/>
                <w:szCs w:val="20"/>
              </w:rPr>
            </w:pPr>
            <w:r>
              <w:rPr>
                <w:rFonts w:ascii="Arial" w:hAnsi="Arial" w:cs="Arial"/>
                <w:sz w:val="20"/>
                <w:szCs w:val="20"/>
              </w:rPr>
              <w:t>0.54%</w:t>
            </w:r>
          </w:p>
        </w:tc>
      </w:tr>
      <w:tr w:rsidR="00AD19A1" w:rsidRPr="0018122A" w:rsidTr="00AD19A1">
        <w:trPr>
          <w:trHeight w:val="260"/>
        </w:trPr>
        <w:tc>
          <w:tcPr>
            <w:tcW w:w="964" w:type="dxa"/>
            <w:tcBorders>
              <w:top w:val="nil"/>
              <w:left w:val="single" w:sz="4" w:space="0" w:color="000000"/>
              <w:bottom w:val="single" w:sz="4" w:space="0" w:color="000000"/>
              <w:right w:val="single" w:sz="4" w:space="0" w:color="000000"/>
            </w:tcBorders>
            <w:shd w:val="clear" w:color="000000" w:fill="FFFFFF"/>
            <w:vAlign w:val="center"/>
            <w:hideMark/>
          </w:tcPr>
          <w:p w:rsidR="00AD19A1" w:rsidRDefault="00AD19A1" w:rsidP="00AD19A1">
            <w:pPr>
              <w:jc w:val="center"/>
              <w:rPr>
                <w:rFonts w:ascii="Arial" w:hAnsi="Arial" w:cs="Arial"/>
                <w:color w:val="000000"/>
                <w:sz w:val="20"/>
                <w:szCs w:val="20"/>
              </w:rPr>
            </w:pPr>
            <w:r>
              <w:rPr>
                <w:rFonts w:ascii="Arial" w:hAnsi="Arial" w:cs="Arial"/>
                <w:color w:val="000000"/>
                <w:sz w:val="20"/>
                <w:szCs w:val="20"/>
              </w:rPr>
              <w:t>3</w:t>
            </w:r>
          </w:p>
        </w:tc>
        <w:tc>
          <w:tcPr>
            <w:tcW w:w="2727" w:type="dxa"/>
            <w:tcBorders>
              <w:top w:val="nil"/>
              <w:left w:val="nil"/>
              <w:bottom w:val="single" w:sz="4" w:space="0" w:color="000000"/>
              <w:right w:val="single" w:sz="4" w:space="0" w:color="000000"/>
            </w:tcBorders>
            <w:shd w:val="clear" w:color="000000" w:fill="FFFFFF"/>
            <w:vAlign w:val="center"/>
            <w:hideMark/>
          </w:tcPr>
          <w:p w:rsidR="00AD19A1" w:rsidRDefault="00AD19A1" w:rsidP="00AD19A1">
            <w:pPr>
              <w:jc w:val="center"/>
              <w:rPr>
                <w:rFonts w:ascii="Arial" w:hAnsi="Arial" w:cs="Arial"/>
                <w:color w:val="000000"/>
                <w:sz w:val="20"/>
                <w:szCs w:val="20"/>
              </w:rPr>
            </w:pPr>
            <w:r>
              <w:rPr>
                <w:rFonts w:ascii="Arial" w:hAnsi="Arial" w:cs="Arial"/>
                <w:color w:val="000000"/>
                <w:sz w:val="20"/>
                <w:szCs w:val="20"/>
              </w:rPr>
              <w:t>人格权纠纷</w:t>
            </w:r>
          </w:p>
        </w:tc>
        <w:tc>
          <w:tcPr>
            <w:tcW w:w="1669" w:type="dxa"/>
            <w:tcBorders>
              <w:top w:val="nil"/>
              <w:left w:val="nil"/>
              <w:bottom w:val="single" w:sz="4" w:space="0" w:color="000000"/>
              <w:right w:val="single" w:sz="4" w:space="0" w:color="000000"/>
            </w:tcBorders>
            <w:shd w:val="clear" w:color="000000" w:fill="FFFFFF"/>
            <w:vAlign w:val="center"/>
            <w:hideMark/>
          </w:tcPr>
          <w:p w:rsidR="00AD19A1" w:rsidRDefault="00AD19A1" w:rsidP="00AD19A1">
            <w:pPr>
              <w:jc w:val="center"/>
              <w:rPr>
                <w:rFonts w:ascii="Arial" w:hAnsi="Arial" w:cs="Arial"/>
                <w:color w:val="000000"/>
                <w:sz w:val="20"/>
                <w:szCs w:val="20"/>
              </w:rPr>
            </w:pPr>
            <w:r>
              <w:rPr>
                <w:rFonts w:ascii="Arial" w:hAnsi="Arial" w:cs="Arial"/>
                <w:color w:val="000000"/>
                <w:sz w:val="20"/>
                <w:szCs w:val="20"/>
              </w:rPr>
              <w:t>16</w:t>
            </w:r>
          </w:p>
        </w:tc>
        <w:tc>
          <w:tcPr>
            <w:tcW w:w="1951" w:type="dxa"/>
            <w:tcBorders>
              <w:top w:val="nil"/>
              <w:left w:val="nil"/>
              <w:bottom w:val="single" w:sz="4" w:space="0" w:color="000000"/>
              <w:right w:val="single" w:sz="4" w:space="0" w:color="000000"/>
            </w:tcBorders>
            <w:shd w:val="clear" w:color="000000" w:fill="FFFFFF"/>
            <w:vAlign w:val="center"/>
            <w:hideMark/>
          </w:tcPr>
          <w:p w:rsidR="00AD19A1" w:rsidRDefault="00AD19A1" w:rsidP="00AD19A1">
            <w:pPr>
              <w:jc w:val="center"/>
              <w:rPr>
                <w:rFonts w:ascii="Arial" w:hAnsi="Arial" w:cs="Arial"/>
                <w:color w:val="000000"/>
                <w:sz w:val="20"/>
                <w:szCs w:val="20"/>
              </w:rPr>
            </w:pPr>
            <w:r>
              <w:rPr>
                <w:rFonts w:ascii="Arial" w:hAnsi="Arial" w:cs="Arial"/>
                <w:color w:val="000000"/>
                <w:sz w:val="20"/>
                <w:szCs w:val="20"/>
              </w:rPr>
              <w:t>927</w:t>
            </w:r>
          </w:p>
        </w:tc>
        <w:tc>
          <w:tcPr>
            <w:tcW w:w="1951" w:type="dxa"/>
            <w:tcBorders>
              <w:top w:val="nil"/>
              <w:left w:val="nil"/>
              <w:bottom w:val="single" w:sz="4" w:space="0" w:color="000000"/>
              <w:right w:val="single" w:sz="4" w:space="0" w:color="000000"/>
            </w:tcBorders>
            <w:shd w:val="clear" w:color="000000" w:fill="FFFFFF"/>
            <w:vAlign w:val="center"/>
            <w:hideMark/>
          </w:tcPr>
          <w:p w:rsidR="00AD19A1" w:rsidRDefault="00AD19A1" w:rsidP="00AD19A1">
            <w:pPr>
              <w:jc w:val="center"/>
              <w:rPr>
                <w:rFonts w:ascii="Arial" w:hAnsi="Arial" w:cs="Arial"/>
                <w:sz w:val="20"/>
                <w:szCs w:val="20"/>
              </w:rPr>
            </w:pPr>
            <w:r>
              <w:rPr>
                <w:rFonts w:ascii="Arial" w:hAnsi="Arial" w:cs="Arial"/>
                <w:sz w:val="20"/>
                <w:szCs w:val="20"/>
              </w:rPr>
              <w:t>1.73%</w:t>
            </w:r>
          </w:p>
        </w:tc>
      </w:tr>
      <w:tr w:rsidR="00AD19A1" w:rsidRPr="0018122A" w:rsidTr="00AD19A1">
        <w:trPr>
          <w:trHeight w:val="260"/>
        </w:trPr>
        <w:tc>
          <w:tcPr>
            <w:tcW w:w="964" w:type="dxa"/>
            <w:tcBorders>
              <w:top w:val="nil"/>
              <w:left w:val="single" w:sz="4" w:space="0" w:color="000000"/>
              <w:bottom w:val="single" w:sz="4" w:space="0" w:color="000000"/>
              <w:right w:val="single" w:sz="4" w:space="0" w:color="000000"/>
            </w:tcBorders>
            <w:shd w:val="clear" w:color="000000" w:fill="FFFFFF"/>
            <w:vAlign w:val="center"/>
            <w:hideMark/>
          </w:tcPr>
          <w:p w:rsidR="00AD19A1" w:rsidRDefault="00AD19A1" w:rsidP="00AD19A1">
            <w:pPr>
              <w:jc w:val="center"/>
              <w:rPr>
                <w:rFonts w:ascii="Arial" w:hAnsi="Arial" w:cs="Arial"/>
                <w:color w:val="000000"/>
                <w:sz w:val="20"/>
                <w:szCs w:val="20"/>
              </w:rPr>
            </w:pPr>
            <w:r>
              <w:rPr>
                <w:rFonts w:ascii="Arial" w:hAnsi="Arial" w:cs="Arial"/>
                <w:color w:val="000000"/>
                <w:sz w:val="20"/>
                <w:szCs w:val="20"/>
              </w:rPr>
              <w:t>4</w:t>
            </w:r>
          </w:p>
        </w:tc>
        <w:tc>
          <w:tcPr>
            <w:tcW w:w="2727" w:type="dxa"/>
            <w:tcBorders>
              <w:top w:val="nil"/>
              <w:left w:val="nil"/>
              <w:bottom w:val="single" w:sz="4" w:space="0" w:color="000000"/>
              <w:right w:val="single" w:sz="4" w:space="0" w:color="000000"/>
            </w:tcBorders>
            <w:shd w:val="clear" w:color="000000" w:fill="FFFFFF"/>
            <w:vAlign w:val="center"/>
            <w:hideMark/>
          </w:tcPr>
          <w:p w:rsidR="00AD19A1" w:rsidRDefault="00AD19A1" w:rsidP="00AD19A1">
            <w:pPr>
              <w:jc w:val="center"/>
              <w:rPr>
                <w:rFonts w:ascii="Arial" w:hAnsi="Arial" w:cs="Arial"/>
                <w:color w:val="000000"/>
                <w:sz w:val="20"/>
                <w:szCs w:val="20"/>
              </w:rPr>
            </w:pPr>
            <w:r>
              <w:rPr>
                <w:rFonts w:ascii="Arial" w:hAnsi="Arial" w:cs="Arial"/>
                <w:color w:val="000000"/>
                <w:sz w:val="20"/>
                <w:szCs w:val="20"/>
              </w:rPr>
              <w:t>物权纠纷</w:t>
            </w:r>
          </w:p>
        </w:tc>
        <w:tc>
          <w:tcPr>
            <w:tcW w:w="1669" w:type="dxa"/>
            <w:tcBorders>
              <w:top w:val="nil"/>
              <w:left w:val="nil"/>
              <w:bottom w:val="single" w:sz="4" w:space="0" w:color="000000"/>
              <w:right w:val="single" w:sz="4" w:space="0" w:color="000000"/>
            </w:tcBorders>
            <w:shd w:val="clear" w:color="000000" w:fill="FFFFFF"/>
            <w:vAlign w:val="center"/>
            <w:hideMark/>
          </w:tcPr>
          <w:p w:rsidR="00AD19A1" w:rsidRDefault="00AD19A1" w:rsidP="00AD19A1">
            <w:pPr>
              <w:jc w:val="center"/>
              <w:rPr>
                <w:rFonts w:ascii="Arial" w:hAnsi="Arial" w:cs="Arial"/>
                <w:color w:val="000000"/>
                <w:sz w:val="20"/>
                <w:szCs w:val="20"/>
              </w:rPr>
            </w:pPr>
            <w:r>
              <w:rPr>
                <w:rFonts w:ascii="Arial" w:hAnsi="Arial" w:cs="Arial"/>
                <w:color w:val="000000"/>
                <w:sz w:val="20"/>
                <w:szCs w:val="20"/>
              </w:rPr>
              <w:t>49</w:t>
            </w:r>
          </w:p>
        </w:tc>
        <w:tc>
          <w:tcPr>
            <w:tcW w:w="1951" w:type="dxa"/>
            <w:tcBorders>
              <w:top w:val="nil"/>
              <w:left w:val="nil"/>
              <w:bottom w:val="single" w:sz="4" w:space="0" w:color="000000"/>
              <w:right w:val="single" w:sz="4" w:space="0" w:color="000000"/>
            </w:tcBorders>
            <w:shd w:val="clear" w:color="000000" w:fill="FFFFFF"/>
            <w:vAlign w:val="center"/>
            <w:hideMark/>
          </w:tcPr>
          <w:p w:rsidR="00AD19A1" w:rsidRDefault="00AD19A1" w:rsidP="00AD19A1">
            <w:pPr>
              <w:jc w:val="center"/>
              <w:rPr>
                <w:rFonts w:ascii="Arial" w:hAnsi="Arial" w:cs="Arial"/>
                <w:color w:val="000000"/>
                <w:sz w:val="20"/>
                <w:szCs w:val="20"/>
              </w:rPr>
            </w:pPr>
            <w:r>
              <w:rPr>
                <w:rFonts w:ascii="Arial" w:hAnsi="Arial" w:cs="Arial"/>
                <w:color w:val="000000"/>
                <w:sz w:val="20"/>
                <w:szCs w:val="20"/>
              </w:rPr>
              <w:t>927</w:t>
            </w:r>
          </w:p>
        </w:tc>
        <w:tc>
          <w:tcPr>
            <w:tcW w:w="1951" w:type="dxa"/>
            <w:tcBorders>
              <w:top w:val="nil"/>
              <w:left w:val="nil"/>
              <w:bottom w:val="single" w:sz="4" w:space="0" w:color="000000"/>
              <w:right w:val="single" w:sz="4" w:space="0" w:color="000000"/>
            </w:tcBorders>
            <w:shd w:val="clear" w:color="000000" w:fill="FFFFFF"/>
            <w:vAlign w:val="center"/>
            <w:hideMark/>
          </w:tcPr>
          <w:p w:rsidR="00AD19A1" w:rsidRDefault="00AD19A1" w:rsidP="00AD19A1">
            <w:pPr>
              <w:jc w:val="center"/>
              <w:rPr>
                <w:rFonts w:ascii="Arial" w:hAnsi="Arial" w:cs="Arial"/>
                <w:sz w:val="20"/>
                <w:szCs w:val="20"/>
              </w:rPr>
            </w:pPr>
            <w:r>
              <w:rPr>
                <w:rFonts w:ascii="Arial" w:hAnsi="Arial" w:cs="Arial"/>
                <w:sz w:val="20"/>
                <w:szCs w:val="20"/>
              </w:rPr>
              <w:t>5.29%</w:t>
            </w:r>
          </w:p>
        </w:tc>
      </w:tr>
      <w:tr w:rsidR="00AD19A1" w:rsidRPr="0018122A" w:rsidTr="00AD19A1">
        <w:trPr>
          <w:trHeight w:val="260"/>
        </w:trPr>
        <w:tc>
          <w:tcPr>
            <w:tcW w:w="964" w:type="dxa"/>
            <w:tcBorders>
              <w:top w:val="nil"/>
              <w:left w:val="single" w:sz="4" w:space="0" w:color="000000"/>
              <w:bottom w:val="single" w:sz="4" w:space="0" w:color="000000"/>
              <w:right w:val="single" w:sz="4" w:space="0" w:color="000000"/>
            </w:tcBorders>
            <w:shd w:val="clear" w:color="000000" w:fill="FFFFFF"/>
            <w:vAlign w:val="center"/>
            <w:hideMark/>
          </w:tcPr>
          <w:p w:rsidR="00AD19A1" w:rsidRDefault="00AD19A1" w:rsidP="00AD19A1">
            <w:pPr>
              <w:jc w:val="center"/>
              <w:rPr>
                <w:rFonts w:ascii="Arial" w:hAnsi="Arial" w:cs="Arial"/>
                <w:color w:val="000000"/>
                <w:sz w:val="20"/>
                <w:szCs w:val="20"/>
              </w:rPr>
            </w:pPr>
            <w:r>
              <w:rPr>
                <w:rFonts w:ascii="Arial" w:hAnsi="Arial" w:cs="Arial"/>
                <w:color w:val="000000"/>
                <w:sz w:val="20"/>
                <w:szCs w:val="20"/>
              </w:rPr>
              <w:t>5</w:t>
            </w:r>
          </w:p>
        </w:tc>
        <w:tc>
          <w:tcPr>
            <w:tcW w:w="2727" w:type="dxa"/>
            <w:tcBorders>
              <w:top w:val="nil"/>
              <w:left w:val="nil"/>
              <w:bottom w:val="single" w:sz="4" w:space="0" w:color="000000"/>
              <w:right w:val="single" w:sz="4" w:space="0" w:color="000000"/>
            </w:tcBorders>
            <w:shd w:val="clear" w:color="000000" w:fill="FFFFFF"/>
            <w:vAlign w:val="center"/>
            <w:hideMark/>
          </w:tcPr>
          <w:p w:rsidR="00AD19A1" w:rsidRDefault="00AD19A1" w:rsidP="00AD19A1">
            <w:pPr>
              <w:jc w:val="center"/>
              <w:rPr>
                <w:rFonts w:ascii="Arial" w:hAnsi="Arial" w:cs="Arial"/>
                <w:color w:val="000000"/>
                <w:sz w:val="20"/>
                <w:szCs w:val="20"/>
              </w:rPr>
            </w:pPr>
            <w:r>
              <w:rPr>
                <w:rFonts w:ascii="Arial" w:hAnsi="Arial" w:cs="Arial"/>
                <w:color w:val="000000"/>
                <w:sz w:val="20"/>
                <w:szCs w:val="20"/>
              </w:rPr>
              <w:t>适用特殊程序案件案由</w:t>
            </w:r>
          </w:p>
        </w:tc>
        <w:tc>
          <w:tcPr>
            <w:tcW w:w="1669" w:type="dxa"/>
            <w:tcBorders>
              <w:top w:val="nil"/>
              <w:left w:val="nil"/>
              <w:bottom w:val="single" w:sz="4" w:space="0" w:color="000000"/>
              <w:right w:val="single" w:sz="4" w:space="0" w:color="000000"/>
            </w:tcBorders>
            <w:shd w:val="clear" w:color="000000" w:fill="FFFFFF"/>
            <w:vAlign w:val="center"/>
            <w:hideMark/>
          </w:tcPr>
          <w:p w:rsidR="00AD19A1" w:rsidRDefault="00AD19A1" w:rsidP="00AD19A1">
            <w:pPr>
              <w:jc w:val="center"/>
              <w:rPr>
                <w:rFonts w:ascii="Arial" w:hAnsi="Arial" w:cs="Arial"/>
                <w:color w:val="000000"/>
                <w:sz w:val="20"/>
                <w:szCs w:val="20"/>
              </w:rPr>
            </w:pPr>
            <w:r>
              <w:rPr>
                <w:rFonts w:ascii="Arial" w:hAnsi="Arial" w:cs="Arial"/>
                <w:color w:val="000000"/>
                <w:sz w:val="20"/>
                <w:szCs w:val="20"/>
              </w:rPr>
              <w:t>9</w:t>
            </w:r>
          </w:p>
        </w:tc>
        <w:tc>
          <w:tcPr>
            <w:tcW w:w="1951" w:type="dxa"/>
            <w:tcBorders>
              <w:top w:val="nil"/>
              <w:left w:val="nil"/>
              <w:bottom w:val="single" w:sz="4" w:space="0" w:color="000000"/>
              <w:right w:val="single" w:sz="4" w:space="0" w:color="000000"/>
            </w:tcBorders>
            <w:shd w:val="clear" w:color="000000" w:fill="FFFFFF"/>
            <w:vAlign w:val="center"/>
            <w:hideMark/>
          </w:tcPr>
          <w:p w:rsidR="00AD19A1" w:rsidRDefault="00AD19A1" w:rsidP="00AD19A1">
            <w:pPr>
              <w:jc w:val="center"/>
              <w:rPr>
                <w:rFonts w:ascii="Arial" w:hAnsi="Arial" w:cs="Arial"/>
                <w:color w:val="000000"/>
                <w:sz w:val="20"/>
                <w:szCs w:val="20"/>
              </w:rPr>
            </w:pPr>
            <w:r>
              <w:rPr>
                <w:rFonts w:ascii="Arial" w:hAnsi="Arial" w:cs="Arial"/>
                <w:color w:val="000000"/>
                <w:sz w:val="20"/>
                <w:szCs w:val="20"/>
              </w:rPr>
              <w:t>927</w:t>
            </w:r>
          </w:p>
        </w:tc>
        <w:tc>
          <w:tcPr>
            <w:tcW w:w="1951" w:type="dxa"/>
            <w:tcBorders>
              <w:top w:val="nil"/>
              <w:left w:val="nil"/>
              <w:bottom w:val="single" w:sz="4" w:space="0" w:color="000000"/>
              <w:right w:val="single" w:sz="4" w:space="0" w:color="000000"/>
            </w:tcBorders>
            <w:shd w:val="clear" w:color="000000" w:fill="FFFFFF"/>
            <w:vAlign w:val="center"/>
            <w:hideMark/>
          </w:tcPr>
          <w:p w:rsidR="00AD19A1" w:rsidRDefault="00AD19A1" w:rsidP="00AD19A1">
            <w:pPr>
              <w:jc w:val="center"/>
              <w:rPr>
                <w:rFonts w:ascii="Arial" w:hAnsi="Arial" w:cs="Arial"/>
                <w:sz w:val="20"/>
                <w:szCs w:val="20"/>
              </w:rPr>
            </w:pPr>
            <w:r>
              <w:rPr>
                <w:rFonts w:ascii="Arial" w:hAnsi="Arial" w:cs="Arial"/>
                <w:sz w:val="20"/>
                <w:szCs w:val="20"/>
              </w:rPr>
              <w:t>0.97%</w:t>
            </w:r>
          </w:p>
        </w:tc>
      </w:tr>
      <w:tr w:rsidR="00AD19A1" w:rsidRPr="0018122A" w:rsidTr="00AD19A1">
        <w:trPr>
          <w:trHeight w:val="260"/>
        </w:trPr>
        <w:tc>
          <w:tcPr>
            <w:tcW w:w="964" w:type="dxa"/>
            <w:tcBorders>
              <w:top w:val="nil"/>
              <w:left w:val="single" w:sz="4" w:space="0" w:color="000000"/>
              <w:bottom w:val="single" w:sz="4" w:space="0" w:color="000000"/>
              <w:right w:val="single" w:sz="4" w:space="0" w:color="000000"/>
            </w:tcBorders>
            <w:shd w:val="clear" w:color="000000" w:fill="FFFFFF"/>
            <w:vAlign w:val="center"/>
            <w:hideMark/>
          </w:tcPr>
          <w:p w:rsidR="00AD19A1" w:rsidRDefault="00AD19A1" w:rsidP="00AD19A1">
            <w:pPr>
              <w:jc w:val="center"/>
              <w:rPr>
                <w:rFonts w:ascii="Arial" w:hAnsi="Arial" w:cs="Arial"/>
                <w:color w:val="000000"/>
                <w:sz w:val="20"/>
                <w:szCs w:val="20"/>
              </w:rPr>
            </w:pPr>
            <w:r>
              <w:rPr>
                <w:rFonts w:ascii="Arial" w:hAnsi="Arial" w:cs="Arial"/>
                <w:color w:val="000000"/>
                <w:sz w:val="20"/>
                <w:szCs w:val="20"/>
              </w:rPr>
              <w:t>6</w:t>
            </w:r>
          </w:p>
        </w:tc>
        <w:tc>
          <w:tcPr>
            <w:tcW w:w="2727" w:type="dxa"/>
            <w:tcBorders>
              <w:top w:val="nil"/>
              <w:left w:val="nil"/>
              <w:bottom w:val="single" w:sz="4" w:space="0" w:color="000000"/>
              <w:right w:val="single" w:sz="4" w:space="0" w:color="000000"/>
            </w:tcBorders>
            <w:shd w:val="clear" w:color="000000" w:fill="FFFFFF"/>
            <w:vAlign w:val="center"/>
            <w:hideMark/>
          </w:tcPr>
          <w:p w:rsidR="00AD19A1" w:rsidRDefault="00AD19A1" w:rsidP="00AD19A1">
            <w:pPr>
              <w:jc w:val="center"/>
              <w:rPr>
                <w:rFonts w:ascii="Arial" w:hAnsi="Arial" w:cs="Arial"/>
                <w:color w:val="000000"/>
                <w:sz w:val="20"/>
                <w:szCs w:val="20"/>
              </w:rPr>
            </w:pPr>
            <w:r>
              <w:rPr>
                <w:rFonts w:ascii="Arial" w:hAnsi="Arial" w:cs="Arial"/>
                <w:color w:val="000000"/>
                <w:sz w:val="20"/>
                <w:szCs w:val="20"/>
              </w:rPr>
              <w:t>婚姻家庭、继承纠纷</w:t>
            </w:r>
          </w:p>
        </w:tc>
        <w:tc>
          <w:tcPr>
            <w:tcW w:w="1669" w:type="dxa"/>
            <w:tcBorders>
              <w:top w:val="nil"/>
              <w:left w:val="nil"/>
              <w:bottom w:val="single" w:sz="4" w:space="0" w:color="000000"/>
              <w:right w:val="single" w:sz="4" w:space="0" w:color="000000"/>
            </w:tcBorders>
            <w:shd w:val="clear" w:color="000000" w:fill="FFFFFF"/>
            <w:vAlign w:val="center"/>
            <w:hideMark/>
          </w:tcPr>
          <w:p w:rsidR="00AD19A1" w:rsidRDefault="00AD19A1" w:rsidP="00AD19A1">
            <w:pPr>
              <w:jc w:val="center"/>
              <w:rPr>
                <w:rFonts w:ascii="Arial" w:hAnsi="Arial" w:cs="Arial"/>
                <w:color w:val="000000"/>
                <w:sz w:val="20"/>
                <w:szCs w:val="20"/>
              </w:rPr>
            </w:pPr>
            <w:r>
              <w:rPr>
                <w:rFonts w:ascii="Arial" w:hAnsi="Arial" w:cs="Arial"/>
                <w:color w:val="000000"/>
                <w:sz w:val="20"/>
                <w:szCs w:val="20"/>
              </w:rPr>
              <w:t>122</w:t>
            </w:r>
          </w:p>
        </w:tc>
        <w:tc>
          <w:tcPr>
            <w:tcW w:w="1951" w:type="dxa"/>
            <w:tcBorders>
              <w:top w:val="nil"/>
              <w:left w:val="nil"/>
              <w:bottom w:val="single" w:sz="4" w:space="0" w:color="000000"/>
              <w:right w:val="single" w:sz="4" w:space="0" w:color="000000"/>
            </w:tcBorders>
            <w:shd w:val="clear" w:color="000000" w:fill="FFFFFF"/>
            <w:vAlign w:val="center"/>
            <w:hideMark/>
          </w:tcPr>
          <w:p w:rsidR="00AD19A1" w:rsidRDefault="00AD19A1" w:rsidP="00AD19A1">
            <w:pPr>
              <w:jc w:val="center"/>
              <w:rPr>
                <w:rFonts w:ascii="Arial" w:hAnsi="Arial" w:cs="Arial"/>
                <w:color w:val="000000"/>
                <w:sz w:val="20"/>
                <w:szCs w:val="20"/>
              </w:rPr>
            </w:pPr>
            <w:r>
              <w:rPr>
                <w:rFonts w:ascii="Arial" w:hAnsi="Arial" w:cs="Arial"/>
                <w:color w:val="000000"/>
                <w:sz w:val="20"/>
                <w:szCs w:val="20"/>
              </w:rPr>
              <w:t>927</w:t>
            </w:r>
          </w:p>
        </w:tc>
        <w:tc>
          <w:tcPr>
            <w:tcW w:w="1951" w:type="dxa"/>
            <w:tcBorders>
              <w:top w:val="nil"/>
              <w:left w:val="nil"/>
              <w:bottom w:val="single" w:sz="4" w:space="0" w:color="000000"/>
              <w:right w:val="single" w:sz="4" w:space="0" w:color="000000"/>
            </w:tcBorders>
            <w:shd w:val="clear" w:color="000000" w:fill="FFFFFF"/>
            <w:vAlign w:val="center"/>
            <w:hideMark/>
          </w:tcPr>
          <w:p w:rsidR="00AD19A1" w:rsidRDefault="00AD19A1" w:rsidP="00AD19A1">
            <w:pPr>
              <w:jc w:val="center"/>
              <w:rPr>
                <w:rFonts w:ascii="Arial" w:hAnsi="Arial" w:cs="Arial"/>
                <w:sz w:val="20"/>
                <w:szCs w:val="20"/>
              </w:rPr>
            </w:pPr>
            <w:r>
              <w:rPr>
                <w:rFonts w:ascii="Arial" w:hAnsi="Arial" w:cs="Arial"/>
                <w:sz w:val="20"/>
                <w:szCs w:val="20"/>
              </w:rPr>
              <w:t>13.16%</w:t>
            </w:r>
          </w:p>
        </w:tc>
      </w:tr>
      <w:tr w:rsidR="00AD19A1" w:rsidRPr="0018122A" w:rsidTr="00AD19A1">
        <w:trPr>
          <w:trHeight w:val="260"/>
        </w:trPr>
        <w:tc>
          <w:tcPr>
            <w:tcW w:w="964" w:type="dxa"/>
            <w:tcBorders>
              <w:top w:val="nil"/>
              <w:left w:val="single" w:sz="4" w:space="0" w:color="000000"/>
              <w:bottom w:val="single" w:sz="4" w:space="0" w:color="000000"/>
              <w:right w:val="single" w:sz="4" w:space="0" w:color="000000"/>
            </w:tcBorders>
            <w:shd w:val="clear" w:color="000000" w:fill="FFFFFF"/>
            <w:vAlign w:val="center"/>
            <w:hideMark/>
          </w:tcPr>
          <w:p w:rsidR="00AD19A1" w:rsidRDefault="00AD19A1" w:rsidP="00AD19A1">
            <w:pPr>
              <w:jc w:val="center"/>
              <w:rPr>
                <w:rFonts w:ascii="Arial" w:hAnsi="Arial" w:cs="Arial"/>
                <w:color w:val="000000"/>
                <w:sz w:val="20"/>
                <w:szCs w:val="20"/>
              </w:rPr>
            </w:pPr>
            <w:r>
              <w:rPr>
                <w:rFonts w:ascii="Arial" w:hAnsi="Arial" w:cs="Arial"/>
                <w:color w:val="000000"/>
                <w:sz w:val="20"/>
                <w:szCs w:val="20"/>
              </w:rPr>
              <w:t>7</w:t>
            </w:r>
          </w:p>
        </w:tc>
        <w:tc>
          <w:tcPr>
            <w:tcW w:w="2727" w:type="dxa"/>
            <w:tcBorders>
              <w:top w:val="nil"/>
              <w:left w:val="nil"/>
              <w:bottom w:val="single" w:sz="4" w:space="0" w:color="000000"/>
              <w:right w:val="single" w:sz="4" w:space="0" w:color="000000"/>
            </w:tcBorders>
            <w:shd w:val="clear" w:color="000000" w:fill="FFFFFF"/>
            <w:vAlign w:val="center"/>
            <w:hideMark/>
          </w:tcPr>
          <w:p w:rsidR="00AD19A1" w:rsidRDefault="00AD19A1" w:rsidP="00AD19A1">
            <w:pPr>
              <w:jc w:val="center"/>
              <w:rPr>
                <w:rFonts w:ascii="Arial" w:hAnsi="Arial" w:cs="Arial"/>
                <w:color w:val="000000"/>
                <w:sz w:val="20"/>
                <w:szCs w:val="20"/>
              </w:rPr>
            </w:pPr>
            <w:r>
              <w:rPr>
                <w:rFonts w:ascii="Arial" w:hAnsi="Arial" w:cs="Arial"/>
                <w:color w:val="000000"/>
                <w:sz w:val="20"/>
                <w:szCs w:val="20"/>
              </w:rPr>
              <w:t>侵权责任纠纷</w:t>
            </w:r>
          </w:p>
        </w:tc>
        <w:tc>
          <w:tcPr>
            <w:tcW w:w="1669" w:type="dxa"/>
            <w:tcBorders>
              <w:top w:val="nil"/>
              <w:left w:val="nil"/>
              <w:bottom w:val="single" w:sz="4" w:space="0" w:color="000000"/>
              <w:right w:val="single" w:sz="4" w:space="0" w:color="000000"/>
            </w:tcBorders>
            <w:shd w:val="clear" w:color="000000" w:fill="FFFFFF"/>
            <w:vAlign w:val="center"/>
            <w:hideMark/>
          </w:tcPr>
          <w:p w:rsidR="00AD19A1" w:rsidRDefault="00AD19A1" w:rsidP="00AD19A1">
            <w:pPr>
              <w:jc w:val="center"/>
              <w:rPr>
                <w:rFonts w:ascii="Arial" w:hAnsi="Arial" w:cs="Arial"/>
                <w:color w:val="000000"/>
                <w:sz w:val="20"/>
                <w:szCs w:val="20"/>
              </w:rPr>
            </w:pPr>
            <w:r>
              <w:rPr>
                <w:rFonts w:ascii="Arial" w:hAnsi="Arial" w:cs="Arial"/>
                <w:color w:val="000000"/>
                <w:sz w:val="20"/>
                <w:szCs w:val="20"/>
              </w:rPr>
              <w:t>32</w:t>
            </w:r>
          </w:p>
        </w:tc>
        <w:tc>
          <w:tcPr>
            <w:tcW w:w="1951" w:type="dxa"/>
            <w:tcBorders>
              <w:top w:val="nil"/>
              <w:left w:val="nil"/>
              <w:bottom w:val="single" w:sz="4" w:space="0" w:color="000000"/>
              <w:right w:val="single" w:sz="4" w:space="0" w:color="000000"/>
            </w:tcBorders>
            <w:shd w:val="clear" w:color="000000" w:fill="FFFFFF"/>
            <w:vAlign w:val="center"/>
            <w:hideMark/>
          </w:tcPr>
          <w:p w:rsidR="00AD19A1" w:rsidRDefault="00AD19A1" w:rsidP="00AD19A1">
            <w:pPr>
              <w:jc w:val="center"/>
              <w:rPr>
                <w:rFonts w:ascii="Arial" w:hAnsi="Arial" w:cs="Arial"/>
                <w:color w:val="000000"/>
                <w:sz w:val="20"/>
                <w:szCs w:val="20"/>
              </w:rPr>
            </w:pPr>
            <w:r>
              <w:rPr>
                <w:rFonts w:ascii="Arial" w:hAnsi="Arial" w:cs="Arial"/>
                <w:color w:val="000000"/>
                <w:sz w:val="20"/>
                <w:szCs w:val="20"/>
              </w:rPr>
              <w:t>927</w:t>
            </w:r>
          </w:p>
        </w:tc>
        <w:tc>
          <w:tcPr>
            <w:tcW w:w="1951" w:type="dxa"/>
            <w:tcBorders>
              <w:top w:val="nil"/>
              <w:left w:val="nil"/>
              <w:bottom w:val="single" w:sz="4" w:space="0" w:color="000000"/>
              <w:right w:val="single" w:sz="4" w:space="0" w:color="000000"/>
            </w:tcBorders>
            <w:shd w:val="clear" w:color="000000" w:fill="FFFFFF"/>
            <w:vAlign w:val="center"/>
            <w:hideMark/>
          </w:tcPr>
          <w:p w:rsidR="00AD19A1" w:rsidRDefault="00AD19A1" w:rsidP="00AD19A1">
            <w:pPr>
              <w:jc w:val="center"/>
              <w:rPr>
                <w:rFonts w:ascii="Arial" w:hAnsi="Arial" w:cs="Arial"/>
                <w:sz w:val="20"/>
                <w:szCs w:val="20"/>
              </w:rPr>
            </w:pPr>
            <w:r>
              <w:rPr>
                <w:rFonts w:ascii="Arial" w:hAnsi="Arial" w:cs="Arial"/>
                <w:sz w:val="20"/>
                <w:szCs w:val="20"/>
              </w:rPr>
              <w:t>3.45%</w:t>
            </w:r>
          </w:p>
        </w:tc>
      </w:tr>
      <w:tr w:rsidR="00AD19A1" w:rsidRPr="0018122A" w:rsidTr="00AD19A1">
        <w:trPr>
          <w:trHeight w:val="385"/>
        </w:trPr>
        <w:tc>
          <w:tcPr>
            <w:tcW w:w="964" w:type="dxa"/>
            <w:tcBorders>
              <w:top w:val="nil"/>
              <w:left w:val="single" w:sz="4" w:space="0" w:color="000000"/>
              <w:bottom w:val="single" w:sz="4" w:space="0" w:color="000000"/>
              <w:right w:val="single" w:sz="4" w:space="0" w:color="000000"/>
            </w:tcBorders>
            <w:shd w:val="clear" w:color="000000" w:fill="FFFFFF"/>
            <w:vAlign w:val="center"/>
            <w:hideMark/>
          </w:tcPr>
          <w:p w:rsidR="00AD19A1" w:rsidRDefault="00AD19A1" w:rsidP="00AD19A1">
            <w:pPr>
              <w:jc w:val="center"/>
              <w:rPr>
                <w:rFonts w:ascii="Arial" w:hAnsi="Arial" w:cs="Arial"/>
                <w:color w:val="000000"/>
                <w:sz w:val="20"/>
                <w:szCs w:val="20"/>
              </w:rPr>
            </w:pPr>
            <w:r>
              <w:rPr>
                <w:rFonts w:ascii="Arial" w:hAnsi="Arial" w:cs="Arial"/>
                <w:color w:val="000000"/>
                <w:sz w:val="20"/>
                <w:szCs w:val="20"/>
              </w:rPr>
              <w:t>8</w:t>
            </w:r>
          </w:p>
        </w:tc>
        <w:tc>
          <w:tcPr>
            <w:tcW w:w="2727" w:type="dxa"/>
            <w:tcBorders>
              <w:top w:val="nil"/>
              <w:left w:val="nil"/>
              <w:bottom w:val="single" w:sz="4" w:space="0" w:color="000000"/>
              <w:right w:val="single" w:sz="4" w:space="0" w:color="000000"/>
            </w:tcBorders>
            <w:shd w:val="clear" w:color="000000" w:fill="FFFFFF"/>
            <w:vAlign w:val="center"/>
            <w:hideMark/>
          </w:tcPr>
          <w:p w:rsidR="00AD19A1" w:rsidRDefault="00AD19A1" w:rsidP="00AD19A1">
            <w:pPr>
              <w:jc w:val="center"/>
              <w:rPr>
                <w:rFonts w:ascii="Arial" w:hAnsi="Arial" w:cs="Arial"/>
                <w:color w:val="000000"/>
                <w:sz w:val="20"/>
                <w:szCs w:val="20"/>
              </w:rPr>
            </w:pPr>
            <w:r>
              <w:rPr>
                <w:rFonts w:ascii="Arial" w:hAnsi="Arial" w:cs="Arial"/>
                <w:color w:val="000000"/>
                <w:sz w:val="20"/>
                <w:szCs w:val="20"/>
              </w:rPr>
              <w:t>合同、无因管理、不当得利纠纷</w:t>
            </w:r>
          </w:p>
        </w:tc>
        <w:tc>
          <w:tcPr>
            <w:tcW w:w="1669" w:type="dxa"/>
            <w:tcBorders>
              <w:top w:val="nil"/>
              <w:left w:val="nil"/>
              <w:bottom w:val="single" w:sz="4" w:space="0" w:color="000000"/>
              <w:right w:val="single" w:sz="4" w:space="0" w:color="000000"/>
            </w:tcBorders>
            <w:shd w:val="clear" w:color="000000" w:fill="FFFFFF"/>
            <w:vAlign w:val="center"/>
            <w:hideMark/>
          </w:tcPr>
          <w:p w:rsidR="00AD19A1" w:rsidRDefault="00AD19A1" w:rsidP="00AD19A1">
            <w:pPr>
              <w:jc w:val="center"/>
              <w:rPr>
                <w:rFonts w:ascii="Arial" w:hAnsi="Arial" w:cs="Arial"/>
                <w:color w:val="000000"/>
                <w:sz w:val="20"/>
                <w:szCs w:val="20"/>
              </w:rPr>
            </w:pPr>
            <w:r>
              <w:rPr>
                <w:rFonts w:ascii="Arial" w:hAnsi="Arial" w:cs="Arial"/>
                <w:color w:val="000000"/>
                <w:sz w:val="20"/>
                <w:szCs w:val="20"/>
              </w:rPr>
              <w:t>686</w:t>
            </w:r>
          </w:p>
        </w:tc>
        <w:tc>
          <w:tcPr>
            <w:tcW w:w="1951" w:type="dxa"/>
            <w:tcBorders>
              <w:top w:val="nil"/>
              <w:left w:val="nil"/>
              <w:bottom w:val="single" w:sz="4" w:space="0" w:color="000000"/>
              <w:right w:val="single" w:sz="4" w:space="0" w:color="000000"/>
            </w:tcBorders>
            <w:shd w:val="clear" w:color="000000" w:fill="FFFFFF"/>
            <w:vAlign w:val="center"/>
            <w:hideMark/>
          </w:tcPr>
          <w:p w:rsidR="00AD19A1" w:rsidRDefault="00AD19A1" w:rsidP="00AD19A1">
            <w:pPr>
              <w:jc w:val="center"/>
              <w:rPr>
                <w:rFonts w:ascii="Arial" w:hAnsi="Arial" w:cs="Arial"/>
                <w:color w:val="000000"/>
                <w:sz w:val="20"/>
                <w:szCs w:val="20"/>
              </w:rPr>
            </w:pPr>
            <w:r>
              <w:rPr>
                <w:rFonts w:ascii="Arial" w:hAnsi="Arial" w:cs="Arial"/>
                <w:color w:val="000000"/>
                <w:sz w:val="20"/>
                <w:szCs w:val="20"/>
              </w:rPr>
              <w:t>927</w:t>
            </w:r>
          </w:p>
        </w:tc>
        <w:tc>
          <w:tcPr>
            <w:tcW w:w="1951" w:type="dxa"/>
            <w:tcBorders>
              <w:top w:val="nil"/>
              <w:left w:val="nil"/>
              <w:bottom w:val="single" w:sz="4" w:space="0" w:color="000000"/>
              <w:right w:val="single" w:sz="4" w:space="0" w:color="000000"/>
            </w:tcBorders>
            <w:shd w:val="clear" w:color="000000" w:fill="FFFFFF"/>
            <w:vAlign w:val="center"/>
            <w:hideMark/>
          </w:tcPr>
          <w:p w:rsidR="00AD19A1" w:rsidRDefault="00AD19A1" w:rsidP="00AD19A1">
            <w:pPr>
              <w:jc w:val="center"/>
              <w:rPr>
                <w:rFonts w:ascii="Arial" w:hAnsi="Arial" w:cs="Arial"/>
                <w:sz w:val="20"/>
                <w:szCs w:val="20"/>
              </w:rPr>
            </w:pPr>
            <w:r>
              <w:rPr>
                <w:rFonts w:ascii="Arial" w:hAnsi="Arial" w:cs="Arial"/>
                <w:sz w:val="20"/>
                <w:szCs w:val="20"/>
              </w:rPr>
              <w:t>74.00%</w:t>
            </w:r>
          </w:p>
        </w:tc>
      </w:tr>
    </w:tbl>
    <w:p w:rsidR="00025DAE" w:rsidRPr="0018122A" w:rsidRDefault="00025DAE" w:rsidP="00F5102C">
      <w:pPr>
        <w:ind w:firstLineChars="300" w:firstLine="840"/>
        <w:rPr>
          <w:rFonts w:ascii="仿宋" w:eastAsia="仿宋" w:hAnsi="仿宋"/>
          <w:color w:val="000000" w:themeColor="text1"/>
          <w:sz w:val="28"/>
          <w:szCs w:val="28"/>
        </w:rPr>
      </w:pPr>
    </w:p>
    <w:p w:rsidR="00025DAE" w:rsidRPr="0018122A" w:rsidRDefault="00050986">
      <w:pPr>
        <w:rPr>
          <w:rFonts w:ascii="仿宋" w:eastAsia="仿宋" w:hAnsi="仿宋"/>
          <w:color w:val="000000" w:themeColor="text1"/>
          <w:sz w:val="28"/>
          <w:szCs w:val="28"/>
        </w:rPr>
      </w:pPr>
      <w:r w:rsidRPr="0018122A">
        <w:rPr>
          <w:rFonts w:ascii="仿宋" w:eastAsia="仿宋" w:hAnsi="仿宋" w:hint="eastAsia"/>
          <w:noProof/>
          <w:color w:val="000000" w:themeColor="text1"/>
          <w:sz w:val="28"/>
          <w:szCs w:val="28"/>
        </w:rPr>
        <w:drawing>
          <wp:inline distT="0" distB="0" distL="0" distR="0">
            <wp:extent cx="5759450" cy="2931795"/>
            <wp:effectExtent l="57150" t="19050" r="31750" b="1905"/>
            <wp:docPr id="20"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25DAE" w:rsidRPr="0018122A" w:rsidRDefault="00050986" w:rsidP="00BB0E5D">
      <w:pPr>
        <w:rPr>
          <w:rFonts w:ascii="宋体" w:hAnsi="宋体"/>
          <w:b/>
          <w:color w:val="000000" w:themeColor="text1"/>
          <w:sz w:val="28"/>
          <w:szCs w:val="28"/>
        </w:rPr>
      </w:pPr>
      <w:r w:rsidRPr="0018122A">
        <w:rPr>
          <w:rFonts w:ascii="仿宋" w:eastAsia="仿宋" w:hAnsi="仿宋"/>
          <w:color w:val="000000" w:themeColor="text1"/>
          <w:sz w:val="28"/>
          <w:szCs w:val="28"/>
        </w:rPr>
        <w:t xml:space="preserve">     </w:t>
      </w:r>
    </w:p>
    <w:p w:rsidR="00077AC9" w:rsidRPr="0018122A" w:rsidRDefault="00050986" w:rsidP="00077AC9">
      <w:pPr>
        <w:ind w:firstLine="555"/>
        <w:rPr>
          <w:rFonts w:ascii="宋体" w:hAnsi="宋体"/>
          <w:color w:val="000000" w:themeColor="text1"/>
          <w:sz w:val="28"/>
          <w:szCs w:val="28"/>
        </w:rPr>
      </w:pPr>
      <w:r w:rsidRPr="0018122A">
        <w:rPr>
          <w:rFonts w:ascii="宋体" w:hAnsi="宋体" w:hint="eastAsia"/>
          <w:color w:val="000000" w:themeColor="text1"/>
          <w:sz w:val="28"/>
          <w:szCs w:val="28"/>
        </w:rPr>
        <w:t>和龙法院新收刑事案件</w:t>
      </w:r>
      <w:r w:rsidR="00F83E63">
        <w:rPr>
          <w:rFonts w:ascii="宋体" w:hAnsi="宋体" w:hint="eastAsia"/>
          <w:color w:val="000000" w:themeColor="text1"/>
          <w:sz w:val="28"/>
          <w:szCs w:val="28"/>
        </w:rPr>
        <w:t>88</w:t>
      </w:r>
      <w:r w:rsidRPr="0018122A">
        <w:rPr>
          <w:rFonts w:ascii="宋体" w:hAnsi="宋体" w:hint="eastAsia"/>
          <w:color w:val="000000" w:themeColor="text1"/>
          <w:sz w:val="28"/>
          <w:szCs w:val="28"/>
        </w:rPr>
        <w:t>件，分为</w:t>
      </w:r>
      <w:r w:rsidR="006834EF">
        <w:rPr>
          <w:rFonts w:ascii="宋体" w:hAnsi="宋体" w:hint="eastAsia"/>
          <w:color w:val="000000" w:themeColor="text1"/>
          <w:sz w:val="28"/>
          <w:szCs w:val="28"/>
        </w:rPr>
        <w:t>7</w:t>
      </w:r>
      <w:r w:rsidRPr="0018122A">
        <w:rPr>
          <w:rFonts w:ascii="宋体" w:hAnsi="宋体" w:hint="eastAsia"/>
          <w:color w:val="000000" w:themeColor="text1"/>
          <w:sz w:val="28"/>
          <w:szCs w:val="28"/>
        </w:rPr>
        <w:t>个案由，新收刑事案件案由统计具体如下：</w:t>
      </w:r>
    </w:p>
    <w:p w:rsidR="00025DAE" w:rsidRPr="0018122A" w:rsidRDefault="00D935EA">
      <w:pPr>
        <w:spacing w:line="360" w:lineRule="auto"/>
        <w:jc w:val="center"/>
        <w:rPr>
          <w:rFonts w:ascii="宋体" w:hAnsi="宋体"/>
          <w:b/>
          <w:color w:val="000000" w:themeColor="text1"/>
          <w:sz w:val="28"/>
          <w:szCs w:val="28"/>
        </w:rPr>
      </w:pPr>
      <w:r>
        <w:rPr>
          <w:rFonts w:ascii="宋体" w:hAnsi="宋体" w:hint="eastAsia"/>
          <w:b/>
          <w:color w:val="000000" w:themeColor="text1"/>
          <w:sz w:val="28"/>
          <w:szCs w:val="28"/>
        </w:rPr>
        <w:t>2019年1-</w:t>
      </w:r>
      <w:r w:rsidR="00BA48F2">
        <w:rPr>
          <w:rFonts w:ascii="宋体" w:hAnsi="宋体" w:hint="eastAsia"/>
          <w:b/>
          <w:color w:val="000000" w:themeColor="text1"/>
          <w:sz w:val="28"/>
          <w:szCs w:val="28"/>
        </w:rPr>
        <w:t>9</w:t>
      </w:r>
      <w:r>
        <w:rPr>
          <w:rFonts w:ascii="宋体" w:hAnsi="宋体" w:hint="eastAsia"/>
          <w:b/>
          <w:color w:val="000000" w:themeColor="text1"/>
          <w:sz w:val="28"/>
          <w:szCs w:val="28"/>
        </w:rPr>
        <w:t>月</w:t>
      </w:r>
      <w:r w:rsidR="00050986" w:rsidRPr="0018122A">
        <w:rPr>
          <w:rFonts w:ascii="宋体" w:hAnsi="宋体" w:hint="eastAsia"/>
          <w:b/>
          <w:color w:val="000000" w:themeColor="text1"/>
          <w:sz w:val="28"/>
          <w:szCs w:val="28"/>
        </w:rPr>
        <w:t>和龙法院新收刑事案件案由统计表</w:t>
      </w:r>
    </w:p>
    <w:tbl>
      <w:tblPr>
        <w:tblW w:w="9342" w:type="dxa"/>
        <w:jc w:val="center"/>
        <w:tblInd w:w="93" w:type="dxa"/>
        <w:tblLook w:val="04A0"/>
      </w:tblPr>
      <w:tblGrid>
        <w:gridCol w:w="724"/>
        <w:gridCol w:w="3741"/>
        <w:gridCol w:w="1561"/>
        <w:gridCol w:w="1669"/>
        <w:gridCol w:w="1647"/>
      </w:tblGrid>
      <w:tr w:rsidR="00D10677" w:rsidRPr="0018122A" w:rsidTr="00DF314F">
        <w:trPr>
          <w:trHeight w:val="635"/>
          <w:jc w:val="center"/>
        </w:trPr>
        <w:tc>
          <w:tcPr>
            <w:tcW w:w="72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10677" w:rsidRPr="0018122A" w:rsidRDefault="00D10677" w:rsidP="001C3EC3">
            <w:pPr>
              <w:widowControl/>
              <w:jc w:val="center"/>
              <w:rPr>
                <w:rFonts w:ascii="宋体" w:hAnsi="宋体" w:cs="Arial"/>
                <w:b/>
                <w:bCs/>
                <w:color w:val="000000" w:themeColor="text1"/>
                <w:kern w:val="0"/>
                <w:sz w:val="22"/>
                <w:szCs w:val="22"/>
              </w:rPr>
            </w:pPr>
            <w:r w:rsidRPr="0018122A">
              <w:rPr>
                <w:rFonts w:ascii="宋体" w:hAnsi="宋体" w:cs="Arial" w:hint="eastAsia"/>
                <w:b/>
                <w:bCs/>
                <w:color w:val="000000" w:themeColor="text1"/>
                <w:kern w:val="0"/>
                <w:sz w:val="22"/>
                <w:szCs w:val="22"/>
              </w:rPr>
              <w:t>序号</w:t>
            </w:r>
          </w:p>
        </w:tc>
        <w:tc>
          <w:tcPr>
            <w:tcW w:w="3741" w:type="dxa"/>
            <w:tcBorders>
              <w:top w:val="single" w:sz="4" w:space="0" w:color="000000"/>
              <w:left w:val="nil"/>
              <w:bottom w:val="single" w:sz="4" w:space="0" w:color="000000"/>
              <w:right w:val="single" w:sz="4" w:space="0" w:color="000000"/>
            </w:tcBorders>
            <w:shd w:val="clear" w:color="000000" w:fill="FFFFFF"/>
            <w:vAlign w:val="center"/>
            <w:hideMark/>
          </w:tcPr>
          <w:p w:rsidR="00D10677" w:rsidRPr="0018122A" w:rsidRDefault="00D10677" w:rsidP="001C3EC3">
            <w:pPr>
              <w:widowControl/>
              <w:jc w:val="center"/>
              <w:rPr>
                <w:rFonts w:ascii="宋体" w:hAnsi="宋体" w:cs="Arial"/>
                <w:b/>
                <w:bCs/>
                <w:color w:val="000000" w:themeColor="text1"/>
                <w:kern w:val="0"/>
                <w:sz w:val="22"/>
                <w:szCs w:val="22"/>
              </w:rPr>
            </w:pPr>
            <w:r w:rsidRPr="0018122A">
              <w:rPr>
                <w:rFonts w:ascii="宋体" w:hAnsi="宋体" w:cs="Arial" w:hint="eastAsia"/>
                <w:b/>
                <w:bCs/>
                <w:color w:val="000000" w:themeColor="text1"/>
                <w:kern w:val="0"/>
                <w:sz w:val="22"/>
                <w:szCs w:val="22"/>
              </w:rPr>
              <w:t>案由</w:t>
            </w:r>
          </w:p>
        </w:tc>
        <w:tc>
          <w:tcPr>
            <w:tcW w:w="1561" w:type="dxa"/>
            <w:tcBorders>
              <w:top w:val="single" w:sz="4" w:space="0" w:color="000000"/>
              <w:left w:val="nil"/>
              <w:bottom w:val="single" w:sz="4" w:space="0" w:color="000000"/>
              <w:right w:val="single" w:sz="4" w:space="0" w:color="000000"/>
            </w:tcBorders>
            <w:shd w:val="clear" w:color="000000" w:fill="FFFFFF"/>
            <w:vAlign w:val="center"/>
            <w:hideMark/>
          </w:tcPr>
          <w:p w:rsidR="00D10677" w:rsidRPr="0018122A" w:rsidRDefault="00D10677" w:rsidP="001C3EC3">
            <w:pPr>
              <w:widowControl/>
              <w:jc w:val="center"/>
              <w:rPr>
                <w:rFonts w:ascii="宋体" w:hAnsi="宋体" w:cs="Arial"/>
                <w:b/>
                <w:bCs/>
                <w:color w:val="000000" w:themeColor="text1"/>
                <w:kern w:val="0"/>
                <w:sz w:val="22"/>
                <w:szCs w:val="22"/>
              </w:rPr>
            </w:pPr>
            <w:r w:rsidRPr="0018122A">
              <w:rPr>
                <w:rFonts w:ascii="宋体" w:hAnsi="宋体" w:cs="Arial" w:hint="eastAsia"/>
                <w:b/>
                <w:bCs/>
                <w:color w:val="000000" w:themeColor="text1"/>
                <w:kern w:val="0"/>
                <w:sz w:val="22"/>
                <w:szCs w:val="22"/>
              </w:rPr>
              <w:t>新收案件</w:t>
            </w:r>
          </w:p>
        </w:tc>
        <w:tc>
          <w:tcPr>
            <w:tcW w:w="1669" w:type="dxa"/>
            <w:tcBorders>
              <w:top w:val="single" w:sz="4" w:space="0" w:color="000000"/>
              <w:left w:val="nil"/>
              <w:bottom w:val="single" w:sz="4" w:space="0" w:color="000000"/>
              <w:right w:val="single" w:sz="4" w:space="0" w:color="000000"/>
            </w:tcBorders>
            <w:shd w:val="clear" w:color="000000" w:fill="FFFFFF"/>
            <w:vAlign w:val="center"/>
            <w:hideMark/>
          </w:tcPr>
          <w:p w:rsidR="00D10677" w:rsidRPr="0018122A" w:rsidRDefault="00D10677" w:rsidP="001C3EC3">
            <w:pPr>
              <w:widowControl/>
              <w:jc w:val="center"/>
              <w:rPr>
                <w:rFonts w:ascii="宋体" w:hAnsi="宋体" w:cs="Arial"/>
                <w:b/>
                <w:bCs/>
                <w:color w:val="000000" w:themeColor="text1"/>
                <w:kern w:val="0"/>
                <w:sz w:val="22"/>
                <w:szCs w:val="22"/>
              </w:rPr>
            </w:pPr>
            <w:r w:rsidRPr="0018122A">
              <w:rPr>
                <w:rFonts w:ascii="宋体" w:hAnsi="宋体" w:cs="Arial" w:hint="eastAsia"/>
                <w:b/>
                <w:bCs/>
                <w:color w:val="000000" w:themeColor="text1"/>
                <w:kern w:val="0"/>
                <w:sz w:val="22"/>
                <w:szCs w:val="22"/>
              </w:rPr>
              <w:t>案件总数</w:t>
            </w:r>
          </w:p>
        </w:tc>
        <w:tc>
          <w:tcPr>
            <w:tcW w:w="1647" w:type="dxa"/>
            <w:tcBorders>
              <w:top w:val="single" w:sz="4" w:space="0" w:color="000000"/>
              <w:left w:val="nil"/>
              <w:bottom w:val="single" w:sz="4" w:space="0" w:color="000000"/>
              <w:right w:val="single" w:sz="4" w:space="0" w:color="000000"/>
            </w:tcBorders>
            <w:shd w:val="clear" w:color="000000" w:fill="FFFFFF"/>
            <w:vAlign w:val="center"/>
            <w:hideMark/>
          </w:tcPr>
          <w:p w:rsidR="00D10677" w:rsidRPr="0018122A" w:rsidRDefault="00D10677" w:rsidP="001C3EC3">
            <w:pPr>
              <w:widowControl/>
              <w:jc w:val="center"/>
              <w:rPr>
                <w:rFonts w:ascii="宋体" w:hAnsi="宋体" w:cs="Arial"/>
                <w:b/>
                <w:bCs/>
                <w:color w:val="000000" w:themeColor="text1"/>
                <w:kern w:val="0"/>
                <w:sz w:val="22"/>
                <w:szCs w:val="22"/>
              </w:rPr>
            </w:pPr>
            <w:r w:rsidRPr="0018122A">
              <w:rPr>
                <w:rFonts w:ascii="宋体" w:hAnsi="宋体" w:cs="Arial" w:hint="eastAsia"/>
                <w:b/>
                <w:bCs/>
                <w:color w:val="000000" w:themeColor="text1"/>
                <w:kern w:val="0"/>
                <w:sz w:val="22"/>
                <w:szCs w:val="22"/>
              </w:rPr>
              <w:t>占比</w:t>
            </w:r>
          </w:p>
        </w:tc>
      </w:tr>
      <w:tr w:rsidR="00BA48F2" w:rsidRPr="0018122A" w:rsidTr="009F0631">
        <w:trPr>
          <w:trHeight w:val="369"/>
          <w:jc w:val="center"/>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BA48F2" w:rsidRDefault="00BA48F2" w:rsidP="00BA48F2">
            <w:pPr>
              <w:jc w:val="center"/>
              <w:rPr>
                <w:rFonts w:ascii="Arial" w:hAnsi="Arial" w:cs="Arial"/>
                <w:color w:val="000000"/>
                <w:sz w:val="20"/>
                <w:szCs w:val="20"/>
              </w:rPr>
            </w:pPr>
            <w:r>
              <w:rPr>
                <w:rFonts w:ascii="Arial" w:hAnsi="Arial" w:cs="Arial"/>
                <w:color w:val="000000"/>
                <w:sz w:val="20"/>
                <w:szCs w:val="20"/>
              </w:rPr>
              <w:t>1</w:t>
            </w:r>
          </w:p>
        </w:tc>
        <w:tc>
          <w:tcPr>
            <w:tcW w:w="3741" w:type="dxa"/>
            <w:tcBorders>
              <w:top w:val="nil"/>
              <w:left w:val="nil"/>
              <w:bottom w:val="single" w:sz="4" w:space="0" w:color="000000"/>
              <w:right w:val="single" w:sz="4" w:space="0" w:color="000000"/>
            </w:tcBorders>
            <w:shd w:val="clear" w:color="000000" w:fill="FFFFFF"/>
            <w:vAlign w:val="center"/>
            <w:hideMark/>
          </w:tcPr>
          <w:p w:rsidR="00BA48F2" w:rsidRDefault="00BA48F2" w:rsidP="00BA48F2">
            <w:pPr>
              <w:jc w:val="center"/>
              <w:rPr>
                <w:rFonts w:ascii="Arial" w:hAnsi="Arial" w:cs="Arial"/>
                <w:color w:val="000000"/>
                <w:sz w:val="20"/>
                <w:szCs w:val="20"/>
              </w:rPr>
            </w:pPr>
            <w:r>
              <w:rPr>
                <w:rFonts w:ascii="Arial" w:hAnsi="Arial" w:cs="Arial"/>
                <w:color w:val="000000"/>
                <w:sz w:val="20"/>
                <w:szCs w:val="20"/>
              </w:rPr>
              <w:t>危害公共安全罪</w:t>
            </w:r>
          </w:p>
        </w:tc>
        <w:tc>
          <w:tcPr>
            <w:tcW w:w="1561" w:type="dxa"/>
            <w:tcBorders>
              <w:top w:val="nil"/>
              <w:left w:val="nil"/>
              <w:bottom w:val="single" w:sz="4" w:space="0" w:color="000000"/>
              <w:right w:val="single" w:sz="4" w:space="0" w:color="000000"/>
            </w:tcBorders>
            <w:shd w:val="clear" w:color="000000" w:fill="FFFFFF"/>
            <w:vAlign w:val="center"/>
            <w:hideMark/>
          </w:tcPr>
          <w:p w:rsidR="00BA48F2" w:rsidRDefault="00BA48F2" w:rsidP="00BA48F2">
            <w:pPr>
              <w:jc w:val="center"/>
              <w:rPr>
                <w:rFonts w:ascii="Arial" w:hAnsi="Arial" w:cs="Arial"/>
                <w:color w:val="000000"/>
                <w:sz w:val="20"/>
                <w:szCs w:val="20"/>
              </w:rPr>
            </w:pPr>
            <w:r>
              <w:rPr>
                <w:rFonts w:ascii="Arial" w:hAnsi="Arial" w:cs="Arial"/>
                <w:color w:val="000000"/>
                <w:sz w:val="20"/>
                <w:szCs w:val="20"/>
              </w:rPr>
              <w:t>23</w:t>
            </w:r>
          </w:p>
        </w:tc>
        <w:tc>
          <w:tcPr>
            <w:tcW w:w="1669" w:type="dxa"/>
            <w:tcBorders>
              <w:top w:val="nil"/>
              <w:left w:val="nil"/>
              <w:bottom w:val="single" w:sz="4" w:space="0" w:color="000000"/>
              <w:right w:val="single" w:sz="4" w:space="0" w:color="000000"/>
            </w:tcBorders>
            <w:shd w:val="clear" w:color="000000" w:fill="FFFFFF"/>
            <w:vAlign w:val="center"/>
            <w:hideMark/>
          </w:tcPr>
          <w:p w:rsidR="00BA48F2" w:rsidRDefault="00BA48F2" w:rsidP="00BA48F2">
            <w:pPr>
              <w:jc w:val="center"/>
              <w:rPr>
                <w:rFonts w:ascii="Arial" w:hAnsi="Arial" w:cs="Arial"/>
                <w:color w:val="000000"/>
                <w:sz w:val="20"/>
                <w:szCs w:val="20"/>
              </w:rPr>
            </w:pPr>
            <w:r>
              <w:rPr>
                <w:rFonts w:ascii="Arial" w:hAnsi="Arial" w:cs="Arial"/>
                <w:color w:val="000000"/>
                <w:sz w:val="20"/>
                <w:szCs w:val="20"/>
              </w:rPr>
              <w:t>88</w:t>
            </w:r>
          </w:p>
        </w:tc>
        <w:tc>
          <w:tcPr>
            <w:tcW w:w="1647" w:type="dxa"/>
            <w:tcBorders>
              <w:top w:val="nil"/>
              <w:left w:val="nil"/>
              <w:bottom w:val="single" w:sz="4" w:space="0" w:color="000000"/>
              <w:right w:val="single" w:sz="4" w:space="0" w:color="000000"/>
            </w:tcBorders>
            <w:shd w:val="clear" w:color="000000" w:fill="FFFFFF"/>
            <w:vAlign w:val="center"/>
            <w:hideMark/>
          </w:tcPr>
          <w:p w:rsidR="00BA48F2" w:rsidRDefault="00BA48F2" w:rsidP="00BA48F2">
            <w:pPr>
              <w:jc w:val="center"/>
              <w:rPr>
                <w:rFonts w:ascii="Arial" w:hAnsi="Arial" w:cs="Arial"/>
                <w:color w:val="000000"/>
                <w:sz w:val="18"/>
                <w:szCs w:val="18"/>
              </w:rPr>
            </w:pPr>
            <w:r>
              <w:rPr>
                <w:rFonts w:ascii="Arial" w:hAnsi="Arial" w:cs="Arial"/>
                <w:color w:val="000000"/>
                <w:sz w:val="18"/>
                <w:szCs w:val="18"/>
              </w:rPr>
              <w:t>26.14%</w:t>
            </w:r>
          </w:p>
        </w:tc>
      </w:tr>
      <w:tr w:rsidR="00BA48F2" w:rsidRPr="0018122A" w:rsidTr="009F0631">
        <w:trPr>
          <w:trHeight w:val="369"/>
          <w:jc w:val="center"/>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BA48F2" w:rsidRDefault="00BA48F2" w:rsidP="00BA48F2">
            <w:pPr>
              <w:jc w:val="center"/>
              <w:rPr>
                <w:rFonts w:ascii="Arial" w:hAnsi="Arial" w:cs="Arial"/>
                <w:color w:val="000000"/>
                <w:sz w:val="20"/>
                <w:szCs w:val="20"/>
              </w:rPr>
            </w:pPr>
            <w:r>
              <w:rPr>
                <w:rFonts w:ascii="Arial" w:hAnsi="Arial" w:cs="Arial"/>
                <w:color w:val="000000"/>
                <w:sz w:val="20"/>
                <w:szCs w:val="20"/>
              </w:rPr>
              <w:t>2</w:t>
            </w:r>
          </w:p>
        </w:tc>
        <w:tc>
          <w:tcPr>
            <w:tcW w:w="3741" w:type="dxa"/>
            <w:tcBorders>
              <w:top w:val="nil"/>
              <w:left w:val="nil"/>
              <w:bottom w:val="single" w:sz="4" w:space="0" w:color="000000"/>
              <w:right w:val="single" w:sz="4" w:space="0" w:color="000000"/>
            </w:tcBorders>
            <w:shd w:val="clear" w:color="000000" w:fill="FFFFFF"/>
            <w:vAlign w:val="center"/>
            <w:hideMark/>
          </w:tcPr>
          <w:p w:rsidR="00BA48F2" w:rsidRDefault="00BA48F2" w:rsidP="00BA48F2">
            <w:pPr>
              <w:jc w:val="center"/>
              <w:rPr>
                <w:rFonts w:ascii="Arial" w:hAnsi="Arial" w:cs="Arial"/>
                <w:color w:val="000000"/>
                <w:sz w:val="20"/>
                <w:szCs w:val="20"/>
              </w:rPr>
            </w:pPr>
            <w:r>
              <w:rPr>
                <w:rFonts w:ascii="Arial" w:hAnsi="Arial" w:cs="Arial"/>
                <w:color w:val="000000"/>
                <w:sz w:val="20"/>
                <w:szCs w:val="20"/>
              </w:rPr>
              <w:t>贪污贿赂罪</w:t>
            </w:r>
          </w:p>
        </w:tc>
        <w:tc>
          <w:tcPr>
            <w:tcW w:w="1561" w:type="dxa"/>
            <w:tcBorders>
              <w:top w:val="nil"/>
              <w:left w:val="nil"/>
              <w:bottom w:val="single" w:sz="4" w:space="0" w:color="000000"/>
              <w:right w:val="single" w:sz="4" w:space="0" w:color="000000"/>
            </w:tcBorders>
            <w:shd w:val="clear" w:color="000000" w:fill="FFFFFF"/>
            <w:vAlign w:val="center"/>
            <w:hideMark/>
          </w:tcPr>
          <w:p w:rsidR="00BA48F2" w:rsidRDefault="00BA48F2" w:rsidP="00BA48F2">
            <w:pPr>
              <w:jc w:val="center"/>
              <w:rPr>
                <w:rFonts w:ascii="Arial" w:hAnsi="Arial" w:cs="Arial"/>
                <w:color w:val="000000"/>
                <w:sz w:val="20"/>
                <w:szCs w:val="20"/>
              </w:rPr>
            </w:pPr>
            <w:r>
              <w:rPr>
                <w:rFonts w:ascii="Arial" w:hAnsi="Arial" w:cs="Arial"/>
                <w:color w:val="000000"/>
                <w:sz w:val="20"/>
                <w:szCs w:val="20"/>
              </w:rPr>
              <w:t>1</w:t>
            </w:r>
          </w:p>
        </w:tc>
        <w:tc>
          <w:tcPr>
            <w:tcW w:w="1669" w:type="dxa"/>
            <w:tcBorders>
              <w:top w:val="nil"/>
              <w:left w:val="nil"/>
              <w:bottom w:val="single" w:sz="4" w:space="0" w:color="000000"/>
              <w:right w:val="single" w:sz="4" w:space="0" w:color="000000"/>
            </w:tcBorders>
            <w:shd w:val="clear" w:color="000000" w:fill="FFFFFF"/>
            <w:vAlign w:val="center"/>
            <w:hideMark/>
          </w:tcPr>
          <w:p w:rsidR="00BA48F2" w:rsidRDefault="00BA48F2" w:rsidP="00BA48F2">
            <w:pPr>
              <w:jc w:val="center"/>
              <w:rPr>
                <w:rFonts w:ascii="Arial" w:hAnsi="Arial" w:cs="Arial"/>
                <w:color w:val="000000"/>
                <w:sz w:val="20"/>
                <w:szCs w:val="20"/>
              </w:rPr>
            </w:pPr>
            <w:r>
              <w:rPr>
                <w:rFonts w:ascii="Arial" w:hAnsi="Arial" w:cs="Arial"/>
                <w:color w:val="000000"/>
                <w:sz w:val="20"/>
                <w:szCs w:val="20"/>
              </w:rPr>
              <w:t>88</w:t>
            </w:r>
          </w:p>
        </w:tc>
        <w:tc>
          <w:tcPr>
            <w:tcW w:w="1647" w:type="dxa"/>
            <w:tcBorders>
              <w:top w:val="nil"/>
              <w:left w:val="nil"/>
              <w:bottom w:val="single" w:sz="4" w:space="0" w:color="000000"/>
              <w:right w:val="single" w:sz="4" w:space="0" w:color="000000"/>
            </w:tcBorders>
            <w:shd w:val="clear" w:color="000000" w:fill="FFFFFF"/>
            <w:vAlign w:val="center"/>
            <w:hideMark/>
          </w:tcPr>
          <w:p w:rsidR="00BA48F2" w:rsidRDefault="00BA48F2" w:rsidP="00BA48F2">
            <w:pPr>
              <w:jc w:val="center"/>
              <w:rPr>
                <w:rFonts w:ascii="Arial" w:hAnsi="Arial" w:cs="Arial"/>
                <w:color w:val="000000"/>
                <w:sz w:val="18"/>
                <w:szCs w:val="18"/>
              </w:rPr>
            </w:pPr>
            <w:r>
              <w:rPr>
                <w:rFonts w:ascii="Arial" w:hAnsi="Arial" w:cs="Arial"/>
                <w:color w:val="000000"/>
                <w:sz w:val="18"/>
                <w:szCs w:val="18"/>
              </w:rPr>
              <w:t>1.14%</w:t>
            </w:r>
          </w:p>
        </w:tc>
      </w:tr>
      <w:tr w:rsidR="00BA48F2" w:rsidRPr="0018122A" w:rsidTr="009F0631">
        <w:trPr>
          <w:trHeight w:val="369"/>
          <w:jc w:val="center"/>
        </w:trPr>
        <w:tc>
          <w:tcPr>
            <w:tcW w:w="724" w:type="dxa"/>
            <w:tcBorders>
              <w:top w:val="nil"/>
              <w:left w:val="single" w:sz="4" w:space="0" w:color="000000"/>
              <w:bottom w:val="single" w:sz="4" w:space="0" w:color="000000"/>
              <w:right w:val="single" w:sz="4" w:space="0" w:color="000000"/>
            </w:tcBorders>
            <w:shd w:val="clear" w:color="000000" w:fill="FFFFFF"/>
            <w:vAlign w:val="center"/>
            <w:hideMark/>
          </w:tcPr>
          <w:p w:rsidR="00BA48F2" w:rsidRDefault="00BA48F2" w:rsidP="00BA48F2">
            <w:pPr>
              <w:jc w:val="center"/>
              <w:rPr>
                <w:rFonts w:ascii="Arial" w:hAnsi="Arial" w:cs="Arial"/>
                <w:color w:val="000000"/>
                <w:sz w:val="20"/>
                <w:szCs w:val="20"/>
              </w:rPr>
            </w:pPr>
            <w:r>
              <w:rPr>
                <w:rFonts w:ascii="Arial" w:hAnsi="Arial" w:cs="Arial"/>
                <w:color w:val="000000"/>
                <w:sz w:val="20"/>
                <w:szCs w:val="20"/>
              </w:rPr>
              <w:t>3</w:t>
            </w:r>
          </w:p>
        </w:tc>
        <w:tc>
          <w:tcPr>
            <w:tcW w:w="3741" w:type="dxa"/>
            <w:tcBorders>
              <w:top w:val="nil"/>
              <w:left w:val="nil"/>
              <w:bottom w:val="single" w:sz="4" w:space="0" w:color="000000"/>
              <w:right w:val="single" w:sz="4" w:space="0" w:color="000000"/>
            </w:tcBorders>
            <w:shd w:val="clear" w:color="000000" w:fill="FFFFFF"/>
            <w:vAlign w:val="center"/>
            <w:hideMark/>
          </w:tcPr>
          <w:p w:rsidR="00BA48F2" w:rsidRDefault="00BA48F2" w:rsidP="00BA48F2">
            <w:pPr>
              <w:jc w:val="center"/>
              <w:rPr>
                <w:rFonts w:ascii="Arial" w:hAnsi="Arial" w:cs="Arial"/>
                <w:color w:val="000000"/>
                <w:sz w:val="20"/>
                <w:szCs w:val="20"/>
              </w:rPr>
            </w:pPr>
            <w:r>
              <w:rPr>
                <w:rFonts w:ascii="Arial" w:hAnsi="Arial" w:cs="Arial"/>
                <w:color w:val="000000"/>
                <w:sz w:val="20"/>
                <w:szCs w:val="20"/>
              </w:rPr>
              <w:t>侵犯公民人身权利、民主权利罪</w:t>
            </w:r>
          </w:p>
        </w:tc>
        <w:tc>
          <w:tcPr>
            <w:tcW w:w="1561" w:type="dxa"/>
            <w:tcBorders>
              <w:top w:val="nil"/>
              <w:left w:val="nil"/>
              <w:bottom w:val="single" w:sz="4" w:space="0" w:color="000000"/>
              <w:right w:val="single" w:sz="4" w:space="0" w:color="000000"/>
            </w:tcBorders>
            <w:shd w:val="clear" w:color="000000" w:fill="FFFFFF"/>
            <w:vAlign w:val="center"/>
            <w:hideMark/>
          </w:tcPr>
          <w:p w:rsidR="00BA48F2" w:rsidRDefault="00BA48F2" w:rsidP="00BA48F2">
            <w:pPr>
              <w:jc w:val="center"/>
              <w:rPr>
                <w:rFonts w:ascii="Arial" w:hAnsi="Arial" w:cs="Arial"/>
                <w:color w:val="000000"/>
                <w:sz w:val="20"/>
                <w:szCs w:val="20"/>
              </w:rPr>
            </w:pPr>
            <w:r>
              <w:rPr>
                <w:rFonts w:ascii="Arial" w:hAnsi="Arial" w:cs="Arial"/>
                <w:color w:val="000000"/>
                <w:sz w:val="20"/>
                <w:szCs w:val="20"/>
              </w:rPr>
              <w:t>8</w:t>
            </w:r>
          </w:p>
        </w:tc>
        <w:tc>
          <w:tcPr>
            <w:tcW w:w="1669" w:type="dxa"/>
            <w:tcBorders>
              <w:top w:val="nil"/>
              <w:left w:val="nil"/>
              <w:bottom w:val="single" w:sz="4" w:space="0" w:color="000000"/>
              <w:right w:val="single" w:sz="4" w:space="0" w:color="000000"/>
            </w:tcBorders>
            <w:shd w:val="clear" w:color="000000" w:fill="FFFFFF"/>
            <w:vAlign w:val="center"/>
            <w:hideMark/>
          </w:tcPr>
          <w:p w:rsidR="00BA48F2" w:rsidRDefault="00BA48F2" w:rsidP="00BA48F2">
            <w:pPr>
              <w:jc w:val="center"/>
              <w:rPr>
                <w:rFonts w:ascii="Arial" w:hAnsi="Arial" w:cs="Arial"/>
                <w:color w:val="000000"/>
                <w:sz w:val="20"/>
                <w:szCs w:val="20"/>
              </w:rPr>
            </w:pPr>
            <w:r>
              <w:rPr>
                <w:rFonts w:ascii="Arial" w:hAnsi="Arial" w:cs="Arial"/>
                <w:color w:val="000000"/>
                <w:sz w:val="20"/>
                <w:szCs w:val="20"/>
              </w:rPr>
              <w:t>88</w:t>
            </w:r>
          </w:p>
        </w:tc>
        <w:tc>
          <w:tcPr>
            <w:tcW w:w="1647" w:type="dxa"/>
            <w:tcBorders>
              <w:top w:val="nil"/>
              <w:left w:val="nil"/>
              <w:bottom w:val="single" w:sz="4" w:space="0" w:color="000000"/>
              <w:right w:val="single" w:sz="4" w:space="0" w:color="000000"/>
            </w:tcBorders>
            <w:shd w:val="clear" w:color="000000" w:fill="FFFFFF"/>
            <w:vAlign w:val="center"/>
            <w:hideMark/>
          </w:tcPr>
          <w:p w:rsidR="00BA48F2" w:rsidRDefault="00BA48F2" w:rsidP="00BA48F2">
            <w:pPr>
              <w:jc w:val="center"/>
              <w:rPr>
                <w:rFonts w:ascii="Arial" w:hAnsi="Arial" w:cs="Arial"/>
                <w:color w:val="000000"/>
                <w:sz w:val="18"/>
                <w:szCs w:val="18"/>
              </w:rPr>
            </w:pPr>
            <w:r>
              <w:rPr>
                <w:rFonts w:ascii="Arial" w:hAnsi="Arial" w:cs="Arial"/>
                <w:color w:val="000000"/>
                <w:sz w:val="18"/>
                <w:szCs w:val="18"/>
              </w:rPr>
              <w:t>9.09%</w:t>
            </w:r>
          </w:p>
        </w:tc>
      </w:tr>
      <w:tr w:rsidR="00BA48F2" w:rsidRPr="0018122A" w:rsidTr="009F0631">
        <w:trPr>
          <w:trHeight w:val="369"/>
          <w:jc w:val="center"/>
        </w:trPr>
        <w:tc>
          <w:tcPr>
            <w:tcW w:w="724" w:type="dxa"/>
            <w:tcBorders>
              <w:top w:val="nil"/>
              <w:left w:val="single" w:sz="4" w:space="0" w:color="000000"/>
              <w:bottom w:val="single" w:sz="4" w:space="0" w:color="auto"/>
              <w:right w:val="single" w:sz="4" w:space="0" w:color="000000"/>
            </w:tcBorders>
            <w:shd w:val="clear" w:color="000000" w:fill="FFFFFF"/>
            <w:vAlign w:val="center"/>
            <w:hideMark/>
          </w:tcPr>
          <w:p w:rsidR="00BA48F2" w:rsidRDefault="00BA48F2" w:rsidP="00BA48F2">
            <w:pPr>
              <w:jc w:val="center"/>
              <w:rPr>
                <w:rFonts w:ascii="Arial" w:hAnsi="Arial" w:cs="Arial"/>
                <w:color w:val="000000"/>
                <w:sz w:val="20"/>
                <w:szCs w:val="20"/>
              </w:rPr>
            </w:pPr>
            <w:r>
              <w:rPr>
                <w:rFonts w:ascii="Arial" w:hAnsi="Arial" w:cs="Arial"/>
                <w:color w:val="000000"/>
                <w:sz w:val="20"/>
                <w:szCs w:val="20"/>
              </w:rPr>
              <w:t>4</w:t>
            </w:r>
          </w:p>
        </w:tc>
        <w:tc>
          <w:tcPr>
            <w:tcW w:w="3741" w:type="dxa"/>
            <w:tcBorders>
              <w:top w:val="nil"/>
              <w:left w:val="nil"/>
              <w:bottom w:val="single" w:sz="4" w:space="0" w:color="auto"/>
              <w:right w:val="single" w:sz="4" w:space="0" w:color="000000"/>
            </w:tcBorders>
            <w:shd w:val="clear" w:color="000000" w:fill="FFFFFF"/>
            <w:vAlign w:val="center"/>
            <w:hideMark/>
          </w:tcPr>
          <w:p w:rsidR="00BA48F2" w:rsidRDefault="00BA48F2" w:rsidP="00BA48F2">
            <w:pPr>
              <w:jc w:val="center"/>
              <w:rPr>
                <w:rFonts w:ascii="Arial" w:hAnsi="Arial" w:cs="Arial"/>
                <w:color w:val="000000"/>
                <w:sz w:val="20"/>
                <w:szCs w:val="20"/>
              </w:rPr>
            </w:pPr>
            <w:r>
              <w:rPr>
                <w:rFonts w:ascii="Arial" w:hAnsi="Arial" w:cs="Arial"/>
                <w:color w:val="000000"/>
                <w:sz w:val="20"/>
                <w:szCs w:val="20"/>
              </w:rPr>
              <w:t>妨害社会管理秩序罪</w:t>
            </w:r>
          </w:p>
        </w:tc>
        <w:tc>
          <w:tcPr>
            <w:tcW w:w="1561" w:type="dxa"/>
            <w:tcBorders>
              <w:top w:val="nil"/>
              <w:left w:val="nil"/>
              <w:bottom w:val="single" w:sz="4" w:space="0" w:color="auto"/>
              <w:right w:val="single" w:sz="4" w:space="0" w:color="000000"/>
            </w:tcBorders>
            <w:shd w:val="clear" w:color="000000" w:fill="FFFFFF"/>
            <w:vAlign w:val="center"/>
            <w:hideMark/>
          </w:tcPr>
          <w:p w:rsidR="00BA48F2" w:rsidRDefault="00BA48F2" w:rsidP="00BA48F2">
            <w:pPr>
              <w:jc w:val="center"/>
              <w:rPr>
                <w:rFonts w:ascii="Arial" w:hAnsi="Arial" w:cs="Arial"/>
                <w:color w:val="000000"/>
                <w:sz w:val="20"/>
                <w:szCs w:val="20"/>
              </w:rPr>
            </w:pPr>
            <w:r>
              <w:rPr>
                <w:rFonts w:ascii="Arial" w:hAnsi="Arial" w:cs="Arial"/>
                <w:color w:val="000000"/>
                <w:sz w:val="20"/>
                <w:szCs w:val="20"/>
              </w:rPr>
              <w:t>26</w:t>
            </w:r>
          </w:p>
        </w:tc>
        <w:tc>
          <w:tcPr>
            <w:tcW w:w="1669" w:type="dxa"/>
            <w:tcBorders>
              <w:top w:val="nil"/>
              <w:left w:val="nil"/>
              <w:bottom w:val="single" w:sz="4" w:space="0" w:color="auto"/>
              <w:right w:val="single" w:sz="4" w:space="0" w:color="000000"/>
            </w:tcBorders>
            <w:shd w:val="clear" w:color="000000" w:fill="FFFFFF"/>
            <w:vAlign w:val="center"/>
            <w:hideMark/>
          </w:tcPr>
          <w:p w:rsidR="00BA48F2" w:rsidRDefault="00BA48F2" w:rsidP="00BA48F2">
            <w:pPr>
              <w:jc w:val="center"/>
              <w:rPr>
                <w:rFonts w:ascii="Arial" w:hAnsi="Arial" w:cs="Arial"/>
                <w:color w:val="000000"/>
                <w:sz w:val="20"/>
                <w:szCs w:val="20"/>
              </w:rPr>
            </w:pPr>
            <w:r>
              <w:rPr>
                <w:rFonts w:ascii="Arial" w:hAnsi="Arial" w:cs="Arial"/>
                <w:color w:val="000000"/>
                <w:sz w:val="20"/>
                <w:szCs w:val="20"/>
              </w:rPr>
              <w:t>88</w:t>
            </w:r>
          </w:p>
        </w:tc>
        <w:tc>
          <w:tcPr>
            <w:tcW w:w="1647" w:type="dxa"/>
            <w:tcBorders>
              <w:top w:val="nil"/>
              <w:left w:val="nil"/>
              <w:bottom w:val="single" w:sz="4" w:space="0" w:color="auto"/>
              <w:right w:val="single" w:sz="4" w:space="0" w:color="000000"/>
            </w:tcBorders>
            <w:shd w:val="clear" w:color="000000" w:fill="FFFFFF"/>
            <w:vAlign w:val="center"/>
            <w:hideMark/>
          </w:tcPr>
          <w:p w:rsidR="00BA48F2" w:rsidRDefault="00BA48F2" w:rsidP="00BA48F2">
            <w:pPr>
              <w:jc w:val="center"/>
              <w:rPr>
                <w:rFonts w:ascii="Arial" w:hAnsi="Arial" w:cs="Arial"/>
                <w:color w:val="000000"/>
                <w:sz w:val="18"/>
                <w:szCs w:val="18"/>
              </w:rPr>
            </w:pPr>
            <w:r>
              <w:rPr>
                <w:rFonts w:ascii="Arial" w:hAnsi="Arial" w:cs="Arial"/>
                <w:color w:val="000000"/>
                <w:sz w:val="18"/>
                <w:szCs w:val="18"/>
              </w:rPr>
              <w:t>29.55%</w:t>
            </w:r>
          </w:p>
        </w:tc>
      </w:tr>
      <w:tr w:rsidR="00BA48F2" w:rsidRPr="0018122A" w:rsidTr="009F0631">
        <w:trPr>
          <w:trHeight w:val="369"/>
          <w:jc w:val="center"/>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48F2" w:rsidRDefault="00BA48F2" w:rsidP="00BA48F2">
            <w:pPr>
              <w:jc w:val="center"/>
              <w:rPr>
                <w:rFonts w:ascii="Arial" w:hAnsi="Arial" w:cs="Arial"/>
                <w:color w:val="000000"/>
                <w:sz w:val="20"/>
                <w:szCs w:val="20"/>
              </w:rPr>
            </w:pPr>
            <w:r>
              <w:rPr>
                <w:rFonts w:ascii="Arial" w:hAnsi="Arial" w:cs="Arial"/>
                <w:color w:val="000000"/>
                <w:sz w:val="20"/>
                <w:szCs w:val="20"/>
              </w:rPr>
              <w:t>5</w:t>
            </w:r>
          </w:p>
        </w:tc>
        <w:tc>
          <w:tcPr>
            <w:tcW w:w="3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48F2" w:rsidRDefault="00BA48F2" w:rsidP="00BA48F2">
            <w:pPr>
              <w:jc w:val="center"/>
              <w:rPr>
                <w:rFonts w:ascii="Arial" w:hAnsi="Arial" w:cs="Arial"/>
                <w:color w:val="000000"/>
                <w:sz w:val="20"/>
                <w:szCs w:val="20"/>
              </w:rPr>
            </w:pPr>
            <w:r>
              <w:rPr>
                <w:rFonts w:ascii="Arial" w:hAnsi="Arial" w:cs="Arial"/>
                <w:color w:val="000000"/>
                <w:sz w:val="20"/>
                <w:szCs w:val="20"/>
              </w:rPr>
              <w:t>侵犯财产罪</w:t>
            </w:r>
          </w:p>
        </w:tc>
        <w:tc>
          <w:tcPr>
            <w:tcW w:w="15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48F2" w:rsidRDefault="00BA48F2" w:rsidP="00BA48F2">
            <w:pPr>
              <w:jc w:val="center"/>
              <w:rPr>
                <w:rFonts w:ascii="Arial" w:hAnsi="Arial" w:cs="Arial"/>
                <w:color w:val="000000"/>
                <w:sz w:val="20"/>
                <w:szCs w:val="20"/>
              </w:rPr>
            </w:pPr>
            <w:r>
              <w:rPr>
                <w:rFonts w:ascii="Arial" w:hAnsi="Arial" w:cs="Arial"/>
                <w:color w:val="000000"/>
                <w:sz w:val="20"/>
                <w:szCs w:val="20"/>
              </w:rPr>
              <w:t>22</w:t>
            </w:r>
          </w:p>
        </w:tc>
        <w:tc>
          <w:tcPr>
            <w:tcW w:w="16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48F2" w:rsidRDefault="00BA48F2" w:rsidP="00BA48F2">
            <w:pPr>
              <w:jc w:val="center"/>
              <w:rPr>
                <w:rFonts w:ascii="Arial" w:hAnsi="Arial" w:cs="Arial"/>
                <w:color w:val="000000"/>
                <w:sz w:val="20"/>
                <w:szCs w:val="20"/>
              </w:rPr>
            </w:pPr>
            <w:r>
              <w:rPr>
                <w:rFonts w:ascii="Arial" w:hAnsi="Arial" w:cs="Arial"/>
                <w:color w:val="000000"/>
                <w:sz w:val="20"/>
                <w:szCs w:val="20"/>
              </w:rPr>
              <w:t>88</w:t>
            </w:r>
          </w:p>
        </w:tc>
        <w:tc>
          <w:tcPr>
            <w:tcW w:w="1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48F2" w:rsidRDefault="00BA48F2" w:rsidP="00BA48F2">
            <w:pPr>
              <w:jc w:val="center"/>
              <w:rPr>
                <w:rFonts w:ascii="Arial" w:hAnsi="Arial" w:cs="Arial"/>
                <w:color w:val="000000"/>
                <w:sz w:val="18"/>
                <w:szCs w:val="18"/>
              </w:rPr>
            </w:pPr>
            <w:r>
              <w:rPr>
                <w:rFonts w:ascii="Arial" w:hAnsi="Arial" w:cs="Arial"/>
                <w:color w:val="000000"/>
                <w:sz w:val="18"/>
                <w:szCs w:val="18"/>
              </w:rPr>
              <w:t>25.00%</w:t>
            </w:r>
          </w:p>
        </w:tc>
      </w:tr>
      <w:tr w:rsidR="00BA48F2" w:rsidRPr="0018122A" w:rsidTr="009F0631">
        <w:trPr>
          <w:trHeight w:val="369"/>
          <w:jc w:val="center"/>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48F2" w:rsidRDefault="00BA48F2" w:rsidP="00BA48F2">
            <w:pPr>
              <w:jc w:val="center"/>
              <w:rPr>
                <w:rFonts w:ascii="Arial" w:hAnsi="Arial" w:cs="Arial"/>
                <w:color w:val="000000"/>
                <w:sz w:val="20"/>
                <w:szCs w:val="20"/>
              </w:rPr>
            </w:pPr>
            <w:r>
              <w:rPr>
                <w:rFonts w:ascii="Arial" w:hAnsi="Arial" w:cs="Arial"/>
                <w:color w:val="000000"/>
                <w:sz w:val="20"/>
                <w:szCs w:val="20"/>
              </w:rPr>
              <w:t>6</w:t>
            </w:r>
          </w:p>
        </w:tc>
        <w:tc>
          <w:tcPr>
            <w:tcW w:w="3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48F2" w:rsidRDefault="00BA48F2" w:rsidP="00BA48F2">
            <w:pPr>
              <w:jc w:val="center"/>
              <w:rPr>
                <w:rFonts w:ascii="Arial" w:hAnsi="Arial" w:cs="Arial"/>
                <w:color w:val="000000"/>
                <w:sz w:val="20"/>
                <w:szCs w:val="20"/>
              </w:rPr>
            </w:pPr>
            <w:r>
              <w:rPr>
                <w:rFonts w:ascii="Arial" w:hAnsi="Arial" w:cs="Arial"/>
                <w:color w:val="000000"/>
                <w:sz w:val="20"/>
                <w:szCs w:val="20"/>
              </w:rPr>
              <w:t>破坏社会主义市场经济秩序罪</w:t>
            </w:r>
          </w:p>
        </w:tc>
        <w:tc>
          <w:tcPr>
            <w:tcW w:w="15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48F2" w:rsidRDefault="00BA48F2" w:rsidP="00BA48F2">
            <w:pPr>
              <w:jc w:val="center"/>
              <w:rPr>
                <w:rFonts w:ascii="Arial" w:hAnsi="Arial" w:cs="Arial"/>
                <w:color w:val="000000"/>
                <w:sz w:val="20"/>
                <w:szCs w:val="20"/>
              </w:rPr>
            </w:pPr>
            <w:r>
              <w:rPr>
                <w:rFonts w:ascii="Arial" w:hAnsi="Arial" w:cs="Arial"/>
                <w:color w:val="000000"/>
                <w:sz w:val="20"/>
                <w:szCs w:val="20"/>
              </w:rPr>
              <w:t>7</w:t>
            </w:r>
          </w:p>
        </w:tc>
        <w:tc>
          <w:tcPr>
            <w:tcW w:w="16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48F2" w:rsidRDefault="00BA48F2" w:rsidP="00BA48F2">
            <w:pPr>
              <w:jc w:val="center"/>
              <w:rPr>
                <w:rFonts w:ascii="Arial" w:hAnsi="Arial" w:cs="Arial"/>
                <w:color w:val="000000"/>
                <w:sz w:val="20"/>
                <w:szCs w:val="20"/>
              </w:rPr>
            </w:pPr>
            <w:r>
              <w:rPr>
                <w:rFonts w:ascii="Arial" w:hAnsi="Arial" w:cs="Arial"/>
                <w:color w:val="000000"/>
                <w:sz w:val="20"/>
                <w:szCs w:val="20"/>
              </w:rPr>
              <w:t>88</w:t>
            </w:r>
          </w:p>
        </w:tc>
        <w:tc>
          <w:tcPr>
            <w:tcW w:w="1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48F2" w:rsidRDefault="00BA48F2" w:rsidP="00BA48F2">
            <w:pPr>
              <w:jc w:val="center"/>
              <w:rPr>
                <w:rFonts w:ascii="Arial" w:hAnsi="Arial" w:cs="Arial"/>
                <w:color w:val="000000"/>
                <w:sz w:val="18"/>
                <w:szCs w:val="18"/>
              </w:rPr>
            </w:pPr>
            <w:r>
              <w:rPr>
                <w:rFonts w:ascii="Arial" w:hAnsi="Arial" w:cs="Arial"/>
                <w:color w:val="000000"/>
                <w:sz w:val="18"/>
                <w:szCs w:val="18"/>
              </w:rPr>
              <w:t>7.95%</w:t>
            </w:r>
          </w:p>
        </w:tc>
      </w:tr>
      <w:tr w:rsidR="00BA48F2" w:rsidRPr="0018122A" w:rsidTr="009F0631">
        <w:trPr>
          <w:trHeight w:val="369"/>
          <w:jc w:val="center"/>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48F2" w:rsidRDefault="00BA48F2" w:rsidP="00BA48F2">
            <w:pPr>
              <w:jc w:val="center"/>
              <w:rPr>
                <w:rFonts w:ascii="Arial" w:hAnsi="Arial" w:cs="Arial"/>
                <w:color w:val="000000"/>
                <w:sz w:val="20"/>
                <w:szCs w:val="20"/>
              </w:rPr>
            </w:pPr>
            <w:r>
              <w:rPr>
                <w:rFonts w:ascii="Arial" w:hAnsi="Arial" w:cs="Arial"/>
                <w:color w:val="000000"/>
                <w:sz w:val="20"/>
                <w:szCs w:val="20"/>
              </w:rPr>
              <w:t>7</w:t>
            </w:r>
          </w:p>
        </w:tc>
        <w:tc>
          <w:tcPr>
            <w:tcW w:w="37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48F2" w:rsidRDefault="00BA48F2" w:rsidP="00BA48F2">
            <w:pPr>
              <w:jc w:val="center"/>
              <w:rPr>
                <w:rFonts w:ascii="Arial" w:hAnsi="Arial" w:cs="Arial"/>
                <w:color w:val="000000"/>
                <w:sz w:val="20"/>
                <w:szCs w:val="20"/>
              </w:rPr>
            </w:pPr>
            <w:r>
              <w:rPr>
                <w:rFonts w:ascii="Arial" w:hAnsi="Arial" w:cs="Arial"/>
                <w:color w:val="000000"/>
                <w:sz w:val="20"/>
                <w:szCs w:val="20"/>
              </w:rPr>
              <w:t>渎职罪</w:t>
            </w:r>
          </w:p>
        </w:tc>
        <w:tc>
          <w:tcPr>
            <w:tcW w:w="15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48F2" w:rsidRDefault="00BA48F2" w:rsidP="00BA48F2">
            <w:pPr>
              <w:jc w:val="center"/>
              <w:rPr>
                <w:rFonts w:ascii="Arial" w:hAnsi="Arial" w:cs="Arial"/>
                <w:color w:val="000000"/>
                <w:sz w:val="20"/>
                <w:szCs w:val="20"/>
              </w:rPr>
            </w:pPr>
            <w:r>
              <w:rPr>
                <w:rFonts w:ascii="Arial" w:hAnsi="Arial" w:cs="Arial"/>
                <w:color w:val="000000"/>
                <w:sz w:val="20"/>
                <w:szCs w:val="20"/>
              </w:rPr>
              <w:t>1</w:t>
            </w:r>
          </w:p>
        </w:tc>
        <w:tc>
          <w:tcPr>
            <w:tcW w:w="16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48F2" w:rsidRDefault="00BA48F2" w:rsidP="00BA48F2">
            <w:pPr>
              <w:jc w:val="center"/>
              <w:rPr>
                <w:rFonts w:ascii="Arial" w:hAnsi="Arial" w:cs="Arial"/>
                <w:color w:val="000000"/>
                <w:sz w:val="20"/>
                <w:szCs w:val="20"/>
              </w:rPr>
            </w:pPr>
            <w:r>
              <w:rPr>
                <w:rFonts w:ascii="Arial" w:hAnsi="Arial" w:cs="Arial"/>
                <w:color w:val="000000"/>
                <w:sz w:val="20"/>
                <w:szCs w:val="20"/>
              </w:rPr>
              <w:t>88</w:t>
            </w:r>
          </w:p>
        </w:tc>
        <w:tc>
          <w:tcPr>
            <w:tcW w:w="16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48F2" w:rsidRDefault="00BA48F2" w:rsidP="00BA48F2">
            <w:pPr>
              <w:jc w:val="center"/>
              <w:rPr>
                <w:rFonts w:ascii="Arial" w:hAnsi="Arial" w:cs="Arial"/>
                <w:color w:val="000000"/>
                <w:sz w:val="18"/>
                <w:szCs w:val="18"/>
              </w:rPr>
            </w:pPr>
            <w:r>
              <w:rPr>
                <w:rFonts w:ascii="Arial" w:hAnsi="Arial" w:cs="Arial"/>
                <w:color w:val="000000"/>
                <w:sz w:val="18"/>
                <w:szCs w:val="18"/>
              </w:rPr>
              <w:t>1.14%</w:t>
            </w:r>
          </w:p>
        </w:tc>
      </w:tr>
    </w:tbl>
    <w:p w:rsidR="00025DAE" w:rsidRPr="0018122A" w:rsidRDefault="00025DAE" w:rsidP="00D77142">
      <w:pPr>
        <w:jc w:val="center"/>
        <w:rPr>
          <w:rFonts w:cs="Arial"/>
          <w:color w:val="000000" w:themeColor="text1"/>
          <w:sz w:val="22"/>
          <w:szCs w:val="22"/>
        </w:rPr>
      </w:pPr>
    </w:p>
    <w:p w:rsidR="00025DAE" w:rsidRPr="0018122A" w:rsidRDefault="00C904E4">
      <w:pPr>
        <w:rPr>
          <w:rFonts w:ascii="仿宋" w:eastAsia="仿宋" w:hAnsi="仿宋"/>
          <w:color w:val="000000" w:themeColor="text1"/>
          <w:sz w:val="28"/>
          <w:szCs w:val="28"/>
        </w:rPr>
      </w:pPr>
      <w:r>
        <w:rPr>
          <w:rFonts w:ascii="仿宋" w:eastAsia="仿宋" w:hAnsi="仿宋"/>
          <w:noProof/>
          <w:color w:val="000000" w:themeColor="text1"/>
          <w:sz w:val="28"/>
          <w:szCs w:val="28"/>
        </w:rPr>
        <w:drawing>
          <wp:inline distT="0" distB="0" distL="0" distR="0">
            <wp:extent cx="5486400" cy="3200400"/>
            <wp:effectExtent l="19050" t="0" r="1905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25DAE" w:rsidRPr="0018122A" w:rsidRDefault="00050986">
      <w:pPr>
        <w:pStyle w:val="1"/>
        <w:rPr>
          <w:color w:val="000000" w:themeColor="text1"/>
        </w:rPr>
      </w:pPr>
      <w:r w:rsidRPr="0018122A">
        <w:rPr>
          <w:rFonts w:hint="eastAsia"/>
          <w:color w:val="000000" w:themeColor="text1"/>
        </w:rPr>
        <w:t xml:space="preserve">    </w:t>
      </w:r>
      <w:bookmarkStart w:id="24" w:name="_Toc511998404"/>
      <w:bookmarkStart w:id="25" w:name="_Toc512002115"/>
      <w:bookmarkStart w:id="26" w:name="_Toc512002185"/>
      <w:bookmarkStart w:id="27" w:name="_Toc25137262"/>
      <w:r w:rsidRPr="0018122A">
        <w:rPr>
          <w:rFonts w:hint="eastAsia"/>
          <w:color w:val="000000" w:themeColor="text1"/>
        </w:rPr>
        <w:t>四、</w:t>
      </w:r>
      <w:r w:rsidR="00D935EA">
        <w:rPr>
          <w:rFonts w:hint="eastAsia"/>
          <w:color w:val="000000" w:themeColor="text1"/>
        </w:rPr>
        <w:t>2019</w:t>
      </w:r>
      <w:r w:rsidR="00D935EA">
        <w:rPr>
          <w:rFonts w:hint="eastAsia"/>
          <w:color w:val="000000" w:themeColor="text1"/>
        </w:rPr>
        <w:t>年</w:t>
      </w:r>
      <w:r w:rsidR="00D935EA">
        <w:rPr>
          <w:rFonts w:hint="eastAsia"/>
          <w:color w:val="000000" w:themeColor="text1"/>
        </w:rPr>
        <w:t>1-</w:t>
      </w:r>
      <w:r w:rsidR="00BA48F2">
        <w:rPr>
          <w:rFonts w:hint="eastAsia"/>
          <w:color w:val="000000" w:themeColor="text1"/>
        </w:rPr>
        <w:t>9</w:t>
      </w:r>
      <w:r w:rsidR="00D935EA">
        <w:rPr>
          <w:rFonts w:hint="eastAsia"/>
          <w:color w:val="000000" w:themeColor="text1"/>
        </w:rPr>
        <w:t>月</w:t>
      </w:r>
      <w:r w:rsidRPr="0018122A">
        <w:rPr>
          <w:rFonts w:hint="eastAsia"/>
          <w:color w:val="000000" w:themeColor="text1"/>
        </w:rPr>
        <w:t>和龙法院审结诉讼案件情况</w:t>
      </w:r>
      <w:bookmarkEnd w:id="24"/>
      <w:bookmarkEnd w:id="25"/>
      <w:bookmarkEnd w:id="26"/>
      <w:bookmarkEnd w:id="27"/>
    </w:p>
    <w:p w:rsidR="00CF538F" w:rsidRPr="00BB0E5D" w:rsidRDefault="00D935EA" w:rsidP="00BB0E5D">
      <w:pPr>
        <w:spacing w:line="360" w:lineRule="auto"/>
        <w:ind w:firstLineChars="241" w:firstLine="675"/>
        <w:rPr>
          <w:rFonts w:ascii="黑体" w:eastAsia="黑体" w:hAnsi="黑体"/>
          <w:color w:val="000000" w:themeColor="text1"/>
          <w:sz w:val="30"/>
          <w:szCs w:val="30"/>
        </w:rPr>
      </w:pPr>
      <w:r>
        <w:rPr>
          <w:rFonts w:ascii="仿宋" w:eastAsia="仿宋" w:hAnsi="仿宋" w:hint="eastAsia"/>
          <w:color w:val="000000" w:themeColor="text1"/>
          <w:sz w:val="28"/>
          <w:szCs w:val="28"/>
        </w:rPr>
        <w:t>2019年1-</w:t>
      </w:r>
      <w:r w:rsidR="00BA48F2">
        <w:rPr>
          <w:rFonts w:ascii="仿宋" w:eastAsia="仿宋" w:hAnsi="仿宋" w:hint="eastAsia"/>
          <w:color w:val="000000" w:themeColor="text1"/>
          <w:sz w:val="28"/>
          <w:szCs w:val="28"/>
        </w:rPr>
        <w:t>9</w:t>
      </w:r>
      <w:r>
        <w:rPr>
          <w:rFonts w:ascii="仿宋" w:eastAsia="仿宋" w:hAnsi="仿宋" w:hint="eastAsia"/>
          <w:color w:val="000000" w:themeColor="text1"/>
          <w:sz w:val="28"/>
          <w:szCs w:val="28"/>
        </w:rPr>
        <w:t>月</w:t>
      </w:r>
      <w:r w:rsidR="00050986" w:rsidRPr="0018122A">
        <w:rPr>
          <w:rFonts w:ascii="仿宋" w:eastAsia="仿宋" w:hAnsi="仿宋" w:hint="eastAsia"/>
          <w:color w:val="000000" w:themeColor="text1"/>
          <w:sz w:val="28"/>
          <w:szCs w:val="28"/>
        </w:rPr>
        <w:t>和龙法院审结诉讼案件</w:t>
      </w:r>
      <w:r w:rsidR="00BA48F2">
        <w:rPr>
          <w:rFonts w:ascii="仿宋" w:eastAsia="仿宋" w:hAnsi="仿宋" w:hint="eastAsia"/>
          <w:color w:val="000000" w:themeColor="text1"/>
          <w:sz w:val="28"/>
          <w:szCs w:val="28"/>
        </w:rPr>
        <w:t>1053</w:t>
      </w:r>
      <w:r w:rsidR="00050986" w:rsidRPr="0018122A">
        <w:rPr>
          <w:rFonts w:ascii="仿宋" w:eastAsia="仿宋" w:hAnsi="仿宋" w:hint="eastAsia"/>
          <w:color w:val="000000" w:themeColor="text1"/>
          <w:sz w:val="28"/>
          <w:szCs w:val="28"/>
        </w:rPr>
        <w:t>件，同比</w:t>
      </w:r>
      <w:r w:rsidR="00943DE7" w:rsidRPr="0018122A">
        <w:rPr>
          <w:rFonts w:ascii="仿宋" w:eastAsia="仿宋" w:hAnsi="仿宋" w:hint="eastAsia"/>
          <w:color w:val="000000" w:themeColor="text1"/>
          <w:sz w:val="28"/>
          <w:szCs w:val="28"/>
        </w:rPr>
        <w:t>增加</w:t>
      </w:r>
      <w:r w:rsidR="00BA48F2">
        <w:rPr>
          <w:rFonts w:ascii="仿宋" w:eastAsia="仿宋" w:hAnsi="仿宋" w:hint="eastAsia"/>
          <w:color w:val="000000" w:themeColor="text1"/>
          <w:sz w:val="28"/>
          <w:szCs w:val="28"/>
        </w:rPr>
        <w:t>211</w:t>
      </w:r>
      <w:r w:rsidR="00943DE7" w:rsidRPr="0018122A">
        <w:rPr>
          <w:rFonts w:ascii="仿宋" w:eastAsia="仿宋" w:hAnsi="仿宋" w:hint="eastAsia"/>
          <w:color w:val="000000" w:themeColor="text1"/>
          <w:sz w:val="28"/>
          <w:szCs w:val="28"/>
        </w:rPr>
        <w:t>件，上升</w:t>
      </w:r>
      <w:r w:rsidR="00C8241B">
        <w:rPr>
          <w:rFonts w:ascii="仿宋" w:eastAsia="仿宋" w:hAnsi="仿宋" w:hint="eastAsia"/>
          <w:color w:val="000000" w:themeColor="text1"/>
          <w:sz w:val="28"/>
          <w:szCs w:val="28"/>
        </w:rPr>
        <w:t>25.06</w:t>
      </w:r>
      <w:r w:rsidR="00050986" w:rsidRPr="0018122A">
        <w:rPr>
          <w:rFonts w:ascii="仿宋" w:eastAsia="仿宋" w:hAnsi="仿宋" w:hint="eastAsia"/>
          <w:color w:val="000000" w:themeColor="text1"/>
          <w:sz w:val="28"/>
          <w:szCs w:val="28"/>
        </w:rPr>
        <w:t>%。</w:t>
      </w:r>
    </w:p>
    <w:p w:rsidR="00025DAE" w:rsidRPr="0018122A" w:rsidRDefault="00050986">
      <w:pPr>
        <w:pStyle w:val="2"/>
        <w:rPr>
          <w:rFonts w:hint="eastAsia"/>
          <w:color w:val="000000" w:themeColor="text1"/>
        </w:rPr>
      </w:pPr>
      <w:r w:rsidRPr="0018122A">
        <w:rPr>
          <w:rFonts w:hint="eastAsia"/>
          <w:color w:val="000000" w:themeColor="text1"/>
        </w:rPr>
        <w:t xml:space="preserve">    </w:t>
      </w:r>
      <w:bookmarkStart w:id="28" w:name="_Toc512002117"/>
      <w:bookmarkStart w:id="29" w:name="_Toc512002187"/>
      <w:bookmarkStart w:id="30" w:name="_Toc25137263"/>
      <w:r w:rsidRPr="0018122A">
        <w:rPr>
          <w:rFonts w:hint="eastAsia"/>
          <w:color w:val="000000" w:themeColor="text1"/>
        </w:rPr>
        <w:t>（</w:t>
      </w:r>
      <w:r w:rsidR="00BB0E5D">
        <w:rPr>
          <w:rFonts w:hint="eastAsia"/>
          <w:color w:val="000000" w:themeColor="text1"/>
        </w:rPr>
        <w:t>一</w:t>
      </w:r>
      <w:r w:rsidRPr="0018122A">
        <w:rPr>
          <w:rFonts w:hint="eastAsia"/>
          <w:color w:val="000000" w:themeColor="text1"/>
        </w:rPr>
        <w:t>）</w:t>
      </w:r>
      <w:r w:rsidR="00D935EA">
        <w:rPr>
          <w:rFonts w:hint="eastAsia"/>
          <w:color w:val="000000" w:themeColor="text1"/>
        </w:rPr>
        <w:t>2019</w:t>
      </w:r>
      <w:r w:rsidR="00D935EA">
        <w:rPr>
          <w:rFonts w:hint="eastAsia"/>
          <w:color w:val="000000" w:themeColor="text1"/>
        </w:rPr>
        <w:t>年</w:t>
      </w:r>
      <w:r w:rsidR="00D935EA">
        <w:rPr>
          <w:rFonts w:hint="eastAsia"/>
          <w:color w:val="000000" w:themeColor="text1"/>
        </w:rPr>
        <w:t>1-</w:t>
      </w:r>
      <w:r w:rsidR="003E1EFD">
        <w:rPr>
          <w:rFonts w:hint="eastAsia"/>
          <w:color w:val="000000" w:themeColor="text1"/>
        </w:rPr>
        <w:t>9</w:t>
      </w:r>
      <w:r w:rsidR="00D935EA">
        <w:rPr>
          <w:rFonts w:hint="eastAsia"/>
          <w:color w:val="000000" w:themeColor="text1"/>
        </w:rPr>
        <w:t>月</w:t>
      </w:r>
      <w:r w:rsidRPr="0018122A">
        <w:rPr>
          <w:rFonts w:hint="eastAsia"/>
          <w:color w:val="000000" w:themeColor="text1"/>
        </w:rPr>
        <w:t>和龙法院审结诉讼案件类型分布情况</w:t>
      </w:r>
      <w:bookmarkEnd w:id="28"/>
      <w:bookmarkEnd w:id="29"/>
      <w:bookmarkEnd w:id="30"/>
    </w:p>
    <w:p w:rsidR="00025DAE" w:rsidRPr="0018122A" w:rsidRDefault="00D935EA" w:rsidP="008F1033">
      <w:pPr>
        <w:spacing w:line="360" w:lineRule="auto"/>
        <w:ind w:firstLineChars="150" w:firstLine="420"/>
        <w:rPr>
          <w:rFonts w:ascii="仿宋" w:eastAsia="仿宋" w:hAnsi="仿宋"/>
          <w:color w:val="000000" w:themeColor="text1"/>
          <w:sz w:val="28"/>
          <w:szCs w:val="28"/>
        </w:rPr>
      </w:pPr>
      <w:r>
        <w:rPr>
          <w:rFonts w:ascii="仿宋" w:eastAsia="仿宋" w:hAnsi="仿宋"/>
          <w:color w:val="000000" w:themeColor="text1"/>
          <w:sz w:val="28"/>
          <w:szCs w:val="28"/>
        </w:rPr>
        <w:t>2019年1-</w:t>
      </w:r>
      <w:r w:rsidR="003E1EFD">
        <w:rPr>
          <w:rFonts w:ascii="仿宋" w:eastAsia="仿宋" w:hAnsi="仿宋" w:hint="eastAsia"/>
          <w:color w:val="000000" w:themeColor="text1"/>
          <w:sz w:val="28"/>
          <w:szCs w:val="28"/>
        </w:rPr>
        <w:t>9</w:t>
      </w:r>
      <w:r>
        <w:rPr>
          <w:rFonts w:ascii="仿宋" w:eastAsia="仿宋" w:hAnsi="仿宋"/>
          <w:color w:val="000000" w:themeColor="text1"/>
          <w:sz w:val="28"/>
          <w:szCs w:val="28"/>
        </w:rPr>
        <w:t>月</w:t>
      </w:r>
      <w:r w:rsidR="00050986" w:rsidRPr="0018122A">
        <w:rPr>
          <w:rFonts w:ascii="仿宋" w:eastAsia="仿宋" w:hAnsi="仿宋" w:hint="eastAsia"/>
          <w:color w:val="000000" w:themeColor="text1"/>
          <w:sz w:val="28"/>
          <w:szCs w:val="28"/>
        </w:rPr>
        <w:t>和龙法院审结诉讼案件</w:t>
      </w:r>
      <w:r w:rsidR="003E1EFD">
        <w:rPr>
          <w:rFonts w:ascii="仿宋" w:eastAsia="仿宋" w:hAnsi="仿宋" w:hint="eastAsia"/>
          <w:color w:val="000000" w:themeColor="text1"/>
          <w:sz w:val="28"/>
          <w:szCs w:val="28"/>
        </w:rPr>
        <w:t>1053</w:t>
      </w:r>
      <w:r w:rsidR="00EB42BB" w:rsidRPr="0018122A">
        <w:rPr>
          <w:rFonts w:ascii="仿宋" w:eastAsia="仿宋" w:hAnsi="仿宋" w:hint="eastAsia"/>
          <w:color w:val="000000" w:themeColor="text1"/>
          <w:sz w:val="28"/>
          <w:szCs w:val="28"/>
        </w:rPr>
        <w:t>件，其中，刑事</w:t>
      </w:r>
      <w:r w:rsidR="003E1EFD">
        <w:rPr>
          <w:rFonts w:ascii="仿宋" w:eastAsia="仿宋" w:hAnsi="仿宋" w:hint="eastAsia"/>
          <w:color w:val="000000" w:themeColor="text1"/>
          <w:sz w:val="28"/>
          <w:szCs w:val="28"/>
        </w:rPr>
        <w:t>89</w:t>
      </w:r>
      <w:r w:rsidR="00050986" w:rsidRPr="0018122A">
        <w:rPr>
          <w:rFonts w:ascii="仿宋" w:eastAsia="仿宋" w:hAnsi="仿宋" w:hint="eastAsia"/>
          <w:color w:val="000000" w:themeColor="text1"/>
          <w:sz w:val="28"/>
          <w:szCs w:val="28"/>
        </w:rPr>
        <w:t>件，占比</w:t>
      </w:r>
      <w:r w:rsidR="009F0631">
        <w:rPr>
          <w:rFonts w:ascii="仿宋" w:eastAsia="仿宋" w:hAnsi="仿宋" w:hint="eastAsia"/>
          <w:color w:val="000000" w:themeColor="text1"/>
          <w:sz w:val="28"/>
          <w:szCs w:val="28"/>
        </w:rPr>
        <w:t>8.25</w:t>
      </w:r>
      <w:r w:rsidR="00050986" w:rsidRPr="0018122A">
        <w:rPr>
          <w:rFonts w:ascii="仿宋" w:eastAsia="仿宋" w:hAnsi="仿宋" w:hint="eastAsia"/>
          <w:color w:val="000000" w:themeColor="text1"/>
          <w:sz w:val="28"/>
          <w:szCs w:val="28"/>
        </w:rPr>
        <w:t>%；民事</w:t>
      </w:r>
      <w:r w:rsidR="003E1EFD">
        <w:rPr>
          <w:rFonts w:ascii="仿宋" w:eastAsia="仿宋" w:hAnsi="仿宋" w:hint="eastAsia"/>
          <w:color w:val="000000" w:themeColor="text1"/>
          <w:sz w:val="28"/>
          <w:szCs w:val="28"/>
        </w:rPr>
        <w:t>907</w:t>
      </w:r>
      <w:r w:rsidR="00050986" w:rsidRPr="0018122A">
        <w:rPr>
          <w:rFonts w:ascii="仿宋" w:eastAsia="仿宋" w:hAnsi="仿宋" w:hint="eastAsia"/>
          <w:color w:val="000000" w:themeColor="text1"/>
          <w:sz w:val="28"/>
          <w:szCs w:val="28"/>
        </w:rPr>
        <w:t>件，占比</w:t>
      </w:r>
      <w:r w:rsidR="009F0631">
        <w:rPr>
          <w:rFonts w:ascii="仿宋" w:eastAsia="仿宋" w:hAnsi="仿宋" w:hint="eastAsia"/>
          <w:color w:val="000000" w:themeColor="text1"/>
          <w:sz w:val="28"/>
          <w:szCs w:val="28"/>
        </w:rPr>
        <w:t>85.81</w:t>
      </w:r>
      <w:r w:rsidR="00050986" w:rsidRPr="0018122A">
        <w:rPr>
          <w:rFonts w:ascii="仿宋" w:eastAsia="仿宋" w:hAnsi="仿宋" w:hint="eastAsia"/>
          <w:color w:val="000000" w:themeColor="text1"/>
          <w:sz w:val="28"/>
          <w:szCs w:val="28"/>
        </w:rPr>
        <w:t>%，行政</w:t>
      </w:r>
      <w:r w:rsidR="003E1EFD">
        <w:rPr>
          <w:rFonts w:ascii="仿宋" w:eastAsia="仿宋" w:hAnsi="仿宋" w:hint="eastAsia"/>
          <w:color w:val="000000" w:themeColor="text1"/>
          <w:sz w:val="28"/>
          <w:szCs w:val="28"/>
        </w:rPr>
        <w:t>50</w:t>
      </w:r>
      <w:r w:rsidR="00050986" w:rsidRPr="0018122A">
        <w:rPr>
          <w:rFonts w:ascii="仿宋" w:eastAsia="仿宋" w:hAnsi="仿宋" w:hint="eastAsia"/>
          <w:color w:val="000000" w:themeColor="text1"/>
          <w:sz w:val="28"/>
          <w:szCs w:val="28"/>
        </w:rPr>
        <w:t>件，占比</w:t>
      </w:r>
      <w:r w:rsidR="009F0631">
        <w:rPr>
          <w:rFonts w:ascii="仿宋" w:eastAsia="仿宋" w:hAnsi="仿宋" w:hint="eastAsia"/>
          <w:color w:val="000000" w:themeColor="text1"/>
          <w:sz w:val="28"/>
          <w:szCs w:val="28"/>
        </w:rPr>
        <w:t>5.28</w:t>
      </w:r>
      <w:r w:rsidR="00050986" w:rsidRPr="0018122A">
        <w:rPr>
          <w:rFonts w:ascii="仿宋" w:eastAsia="仿宋" w:hAnsi="仿宋" w:hint="eastAsia"/>
          <w:color w:val="000000" w:themeColor="text1"/>
          <w:sz w:val="28"/>
          <w:szCs w:val="28"/>
        </w:rPr>
        <w:t>%</w:t>
      </w:r>
      <w:r w:rsidR="008F0C2C" w:rsidRPr="0018122A">
        <w:rPr>
          <w:rFonts w:ascii="仿宋" w:eastAsia="仿宋" w:hAnsi="仿宋" w:hint="eastAsia"/>
          <w:color w:val="000000" w:themeColor="text1"/>
          <w:sz w:val="28"/>
          <w:szCs w:val="28"/>
        </w:rPr>
        <w:t>，</w:t>
      </w:r>
      <w:r w:rsidR="008F1033" w:rsidRPr="0018122A">
        <w:rPr>
          <w:rFonts w:ascii="仿宋" w:eastAsia="仿宋" w:hAnsi="仿宋" w:hint="eastAsia"/>
          <w:color w:val="000000" w:themeColor="text1"/>
          <w:sz w:val="28"/>
          <w:szCs w:val="28"/>
        </w:rPr>
        <w:t>国家赔偿</w:t>
      </w:r>
      <w:r w:rsidR="00D51D96" w:rsidRPr="0018122A">
        <w:rPr>
          <w:rFonts w:ascii="仿宋" w:eastAsia="仿宋" w:hAnsi="仿宋" w:hint="eastAsia"/>
          <w:color w:val="000000" w:themeColor="text1"/>
          <w:sz w:val="28"/>
          <w:szCs w:val="28"/>
        </w:rPr>
        <w:t>与司法救助</w:t>
      </w:r>
      <w:r w:rsidR="004924CD">
        <w:rPr>
          <w:rFonts w:ascii="仿宋" w:eastAsia="仿宋" w:hAnsi="仿宋" w:hint="eastAsia"/>
          <w:color w:val="000000" w:themeColor="text1"/>
          <w:sz w:val="28"/>
          <w:szCs w:val="28"/>
        </w:rPr>
        <w:t>4</w:t>
      </w:r>
      <w:r w:rsidR="00D51D96" w:rsidRPr="0018122A">
        <w:rPr>
          <w:rFonts w:ascii="仿宋" w:eastAsia="仿宋" w:hAnsi="仿宋" w:hint="eastAsia"/>
          <w:color w:val="000000" w:themeColor="text1"/>
          <w:sz w:val="28"/>
          <w:szCs w:val="28"/>
        </w:rPr>
        <w:t>件，占比</w:t>
      </w:r>
      <w:r w:rsidR="004924CD">
        <w:rPr>
          <w:rFonts w:ascii="仿宋" w:eastAsia="仿宋" w:hAnsi="仿宋" w:hint="eastAsia"/>
          <w:color w:val="000000" w:themeColor="text1"/>
          <w:sz w:val="28"/>
          <w:szCs w:val="28"/>
        </w:rPr>
        <w:t>0.</w:t>
      </w:r>
      <w:r w:rsidR="009F0631">
        <w:rPr>
          <w:rFonts w:ascii="仿宋" w:eastAsia="仿宋" w:hAnsi="仿宋" w:hint="eastAsia"/>
          <w:color w:val="000000" w:themeColor="text1"/>
          <w:sz w:val="28"/>
          <w:szCs w:val="28"/>
        </w:rPr>
        <w:t>44</w:t>
      </w:r>
      <w:r w:rsidR="0095659E">
        <w:rPr>
          <w:rFonts w:ascii="仿宋" w:eastAsia="仿宋" w:hAnsi="仿宋" w:hint="eastAsia"/>
          <w:color w:val="000000" w:themeColor="text1"/>
          <w:sz w:val="28"/>
          <w:szCs w:val="28"/>
        </w:rPr>
        <w:t>%,强制清算与破产</w:t>
      </w:r>
      <w:r w:rsidR="003E1EFD">
        <w:rPr>
          <w:rFonts w:ascii="仿宋" w:eastAsia="仿宋" w:hAnsi="仿宋" w:hint="eastAsia"/>
          <w:color w:val="000000" w:themeColor="text1"/>
          <w:sz w:val="28"/>
          <w:szCs w:val="28"/>
        </w:rPr>
        <w:t>3</w:t>
      </w:r>
      <w:r w:rsidR="0095659E">
        <w:rPr>
          <w:rFonts w:ascii="仿宋" w:eastAsia="仿宋" w:hAnsi="仿宋" w:hint="eastAsia"/>
          <w:color w:val="000000" w:themeColor="text1"/>
          <w:sz w:val="28"/>
          <w:szCs w:val="28"/>
        </w:rPr>
        <w:t>件，占比0.</w:t>
      </w:r>
      <w:r w:rsidR="004924CD">
        <w:rPr>
          <w:rFonts w:ascii="仿宋" w:eastAsia="仿宋" w:hAnsi="仿宋" w:hint="eastAsia"/>
          <w:color w:val="000000" w:themeColor="text1"/>
          <w:sz w:val="28"/>
          <w:szCs w:val="28"/>
        </w:rPr>
        <w:t>2</w:t>
      </w:r>
      <w:r w:rsidR="009F0631">
        <w:rPr>
          <w:rFonts w:ascii="仿宋" w:eastAsia="仿宋" w:hAnsi="仿宋" w:hint="eastAsia"/>
          <w:color w:val="000000" w:themeColor="text1"/>
          <w:sz w:val="28"/>
          <w:szCs w:val="28"/>
        </w:rPr>
        <w:t>2</w:t>
      </w:r>
      <w:r w:rsidR="00856D85">
        <w:rPr>
          <w:rFonts w:ascii="仿宋" w:eastAsia="仿宋" w:hAnsi="仿宋" w:hint="eastAsia"/>
          <w:color w:val="000000" w:themeColor="text1"/>
          <w:sz w:val="28"/>
          <w:szCs w:val="28"/>
        </w:rPr>
        <w:t>%</w:t>
      </w:r>
      <w:r w:rsidR="00D003AA" w:rsidRPr="0018122A">
        <w:rPr>
          <w:rFonts w:ascii="仿宋" w:eastAsia="仿宋" w:hAnsi="仿宋" w:hint="eastAsia"/>
          <w:color w:val="000000" w:themeColor="text1"/>
          <w:sz w:val="28"/>
          <w:szCs w:val="28"/>
        </w:rPr>
        <w:t>。</w:t>
      </w:r>
    </w:p>
    <w:p w:rsidR="00025DAE" w:rsidRPr="0018122A" w:rsidRDefault="00DB783F">
      <w:pPr>
        <w:rPr>
          <w:rFonts w:ascii="仿宋" w:eastAsia="仿宋" w:hAnsi="仿宋"/>
          <w:color w:val="000000" w:themeColor="text1"/>
          <w:sz w:val="28"/>
          <w:szCs w:val="28"/>
        </w:rPr>
      </w:pPr>
      <w:r w:rsidRPr="0018122A">
        <w:rPr>
          <w:rFonts w:ascii="仿宋" w:eastAsia="仿宋" w:hAnsi="仿宋"/>
          <w:noProof/>
          <w:color w:val="000000" w:themeColor="text1"/>
          <w:sz w:val="28"/>
          <w:szCs w:val="28"/>
        </w:rPr>
        <w:drawing>
          <wp:inline distT="0" distB="0" distL="0" distR="0">
            <wp:extent cx="5764129" cy="2909102"/>
            <wp:effectExtent l="19050" t="0" r="27071" b="5548"/>
            <wp:docPr id="16"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25DAE" w:rsidRPr="0018122A" w:rsidRDefault="00050986">
      <w:pPr>
        <w:pStyle w:val="2"/>
        <w:rPr>
          <w:rFonts w:hint="eastAsia"/>
          <w:color w:val="000000" w:themeColor="text1"/>
        </w:rPr>
      </w:pPr>
      <w:r w:rsidRPr="0018122A">
        <w:rPr>
          <w:rFonts w:hint="eastAsia"/>
          <w:color w:val="000000" w:themeColor="text1"/>
        </w:rPr>
        <w:t xml:space="preserve">    </w:t>
      </w:r>
      <w:bookmarkStart w:id="31" w:name="_Toc512002118"/>
      <w:bookmarkStart w:id="32" w:name="_Toc512002188"/>
      <w:bookmarkStart w:id="33" w:name="_Toc25137264"/>
      <w:r w:rsidR="00CE754E" w:rsidRPr="0018122A">
        <w:rPr>
          <w:rFonts w:hint="eastAsia"/>
          <w:color w:val="000000" w:themeColor="text1"/>
        </w:rPr>
        <w:t>（</w:t>
      </w:r>
      <w:r w:rsidR="00BB0E5D">
        <w:rPr>
          <w:rFonts w:hint="eastAsia"/>
          <w:color w:val="000000" w:themeColor="text1"/>
        </w:rPr>
        <w:t>二</w:t>
      </w:r>
      <w:r w:rsidR="00CE754E" w:rsidRPr="0018122A">
        <w:rPr>
          <w:rFonts w:hint="eastAsia"/>
          <w:color w:val="000000" w:themeColor="text1"/>
        </w:rPr>
        <w:t>）</w:t>
      </w:r>
      <w:r w:rsidR="00D935EA">
        <w:rPr>
          <w:rFonts w:hint="eastAsia"/>
          <w:color w:val="000000" w:themeColor="text1"/>
        </w:rPr>
        <w:t>2019</w:t>
      </w:r>
      <w:r w:rsidR="00D935EA">
        <w:rPr>
          <w:rFonts w:hint="eastAsia"/>
          <w:color w:val="000000" w:themeColor="text1"/>
        </w:rPr>
        <w:t>年</w:t>
      </w:r>
      <w:r w:rsidR="00D935EA">
        <w:rPr>
          <w:rFonts w:hint="eastAsia"/>
          <w:color w:val="000000" w:themeColor="text1"/>
        </w:rPr>
        <w:t>1-</w:t>
      </w:r>
      <w:r w:rsidR="000507F9">
        <w:rPr>
          <w:rFonts w:hint="eastAsia"/>
          <w:color w:val="000000" w:themeColor="text1"/>
        </w:rPr>
        <w:t>9</w:t>
      </w:r>
      <w:r w:rsidR="00D935EA">
        <w:rPr>
          <w:rFonts w:hint="eastAsia"/>
          <w:color w:val="000000" w:themeColor="text1"/>
        </w:rPr>
        <w:t>月</w:t>
      </w:r>
      <w:r w:rsidRPr="0018122A">
        <w:rPr>
          <w:rFonts w:hint="eastAsia"/>
          <w:color w:val="000000" w:themeColor="text1"/>
        </w:rPr>
        <w:t>和龙法院审结案件的案由、罪名情况</w:t>
      </w:r>
      <w:bookmarkEnd w:id="31"/>
      <w:bookmarkEnd w:id="32"/>
      <w:bookmarkEnd w:id="33"/>
    </w:p>
    <w:p w:rsidR="00025DAE" w:rsidRPr="0018122A" w:rsidRDefault="00050986">
      <w:pPr>
        <w:ind w:firstLine="555"/>
        <w:rPr>
          <w:rFonts w:ascii="宋体" w:hAnsi="宋体"/>
          <w:color w:val="000000" w:themeColor="text1"/>
          <w:sz w:val="28"/>
          <w:szCs w:val="28"/>
        </w:rPr>
      </w:pPr>
      <w:r w:rsidRPr="0018122A">
        <w:rPr>
          <w:rFonts w:ascii="宋体" w:hAnsi="宋体" w:hint="eastAsia"/>
          <w:color w:val="000000" w:themeColor="text1"/>
          <w:sz w:val="28"/>
          <w:szCs w:val="28"/>
        </w:rPr>
        <w:t>和龙法院审结民事案件</w:t>
      </w:r>
      <w:r w:rsidR="003E1EFD">
        <w:rPr>
          <w:rFonts w:ascii="宋体" w:hAnsi="宋体" w:hint="eastAsia"/>
          <w:color w:val="000000" w:themeColor="text1"/>
          <w:sz w:val="28"/>
          <w:szCs w:val="28"/>
        </w:rPr>
        <w:t>907</w:t>
      </w:r>
      <w:r w:rsidRPr="0018122A">
        <w:rPr>
          <w:rFonts w:ascii="宋体" w:hAnsi="宋体" w:hint="eastAsia"/>
          <w:color w:val="000000" w:themeColor="text1"/>
          <w:sz w:val="28"/>
          <w:szCs w:val="28"/>
        </w:rPr>
        <w:t>件，分为</w:t>
      </w:r>
      <w:r w:rsidR="00856D85">
        <w:rPr>
          <w:rFonts w:ascii="宋体" w:hAnsi="宋体" w:hint="eastAsia"/>
          <w:color w:val="000000" w:themeColor="text1"/>
          <w:sz w:val="28"/>
          <w:szCs w:val="28"/>
        </w:rPr>
        <w:t>8</w:t>
      </w:r>
      <w:r w:rsidRPr="0018122A">
        <w:rPr>
          <w:rFonts w:ascii="宋体" w:hAnsi="宋体" w:hint="eastAsia"/>
          <w:color w:val="000000" w:themeColor="text1"/>
          <w:sz w:val="28"/>
          <w:szCs w:val="28"/>
        </w:rPr>
        <w:t>个案由，审结民事案件案由统计具体如下：</w:t>
      </w:r>
    </w:p>
    <w:p w:rsidR="00025DAE" w:rsidRPr="0018122A" w:rsidRDefault="00D935EA">
      <w:pPr>
        <w:spacing w:line="360" w:lineRule="auto"/>
        <w:jc w:val="center"/>
        <w:rPr>
          <w:rFonts w:ascii="宋体" w:hAnsi="宋体"/>
          <w:b/>
          <w:color w:val="000000" w:themeColor="text1"/>
          <w:sz w:val="28"/>
          <w:szCs w:val="28"/>
        </w:rPr>
      </w:pPr>
      <w:r>
        <w:rPr>
          <w:rFonts w:ascii="宋体" w:hAnsi="宋体" w:hint="eastAsia"/>
          <w:b/>
          <w:color w:val="000000" w:themeColor="text1"/>
          <w:sz w:val="28"/>
          <w:szCs w:val="28"/>
        </w:rPr>
        <w:t>2019年1-</w:t>
      </w:r>
      <w:r w:rsidR="003E1EFD">
        <w:rPr>
          <w:rFonts w:ascii="宋体" w:hAnsi="宋体" w:hint="eastAsia"/>
          <w:b/>
          <w:color w:val="000000" w:themeColor="text1"/>
          <w:sz w:val="28"/>
          <w:szCs w:val="28"/>
        </w:rPr>
        <w:t>9</w:t>
      </w:r>
      <w:r>
        <w:rPr>
          <w:rFonts w:ascii="宋体" w:hAnsi="宋体" w:hint="eastAsia"/>
          <w:b/>
          <w:color w:val="000000" w:themeColor="text1"/>
          <w:sz w:val="28"/>
          <w:szCs w:val="28"/>
        </w:rPr>
        <w:t>月</w:t>
      </w:r>
      <w:r w:rsidR="00050986" w:rsidRPr="0018122A">
        <w:rPr>
          <w:rFonts w:ascii="宋体" w:hAnsi="宋体" w:hint="eastAsia"/>
          <w:b/>
          <w:color w:val="000000" w:themeColor="text1"/>
          <w:sz w:val="28"/>
          <w:szCs w:val="28"/>
        </w:rPr>
        <w:t>和龙法院审结民事案件案由统计</w:t>
      </w:r>
    </w:p>
    <w:tbl>
      <w:tblPr>
        <w:tblW w:w="8812" w:type="dxa"/>
        <w:tblInd w:w="93" w:type="dxa"/>
        <w:tblLook w:val="04A0"/>
      </w:tblPr>
      <w:tblGrid>
        <w:gridCol w:w="649"/>
        <w:gridCol w:w="3811"/>
        <w:gridCol w:w="1516"/>
        <w:gridCol w:w="1342"/>
        <w:gridCol w:w="1494"/>
      </w:tblGrid>
      <w:tr w:rsidR="00D86FBB" w:rsidRPr="0018122A" w:rsidTr="00790C2C">
        <w:trPr>
          <w:trHeight w:val="539"/>
        </w:trPr>
        <w:tc>
          <w:tcPr>
            <w:tcW w:w="64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86FBB" w:rsidRPr="0018122A" w:rsidRDefault="00D86FBB" w:rsidP="00790C2C">
            <w:pPr>
              <w:widowControl/>
              <w:jc w:val="center"/>
              <w:rPr>
                <w:rFonts w:ascii="宋体" w:hAnsi="宋体" w:cs="Arial"/>
                <w:b/>
                <w:bCs/>
                <w:color w:val="000000" w:themeColor="text1"/>
                <w:kern w:val="0"/>
                <w:sz w:val="22"/>
                <w:szCs w:val="22"/>
              </w:rPr>
            </w:pPr>
            <w:r w:rsidRPr="0018122A">
              <w:rPr>
                <w:rFonts w:ascii="宋体" w:hAnsi="宋体" w:cs="Arial" w:hint="eastAsia"/>
                <w:b/>
                <w:bCs/>
                <w:color w:val="000000" w:themeColor="text1"/>
                <w:kern w:val="0"/>
                <w:sz w:val="22"/>
                <w:szCs w:val="22"/>
              </w:rPr>
              <w:t>序号</w:t>
            </w:r>
          </w:p>
        </w:tc>
        <w:tc>
          <w:tcPr>
            <w:tcW w:w="3811" w:type="dxa"/>
            <w:tcBorders>
              <w:top w:val="single" w:sz="4" w:space="0" w:color="000000"/>
              <w:left w:val="nil"/>
              <w:bottom w:val="single" w:sz="4" w:space="0" w:color="000000"/>
              <w:right w:val="single" w:sz="4" w:space="0" w:color="000000"/>
            </w:tcBorders>
            <w:shd w:val="clear" w:color="000000" w:fill="FFFFFF"/>
            <w:vAlign w:val="center"/>
            <w:hideMark/>
          </w:tcPr>
          <w:p w:rsidR="00D86FBB" w:rsidRPr="0018122A" w:rsidRDefault="00D86FBB" w:rsidP="00790C2C">
            <w:pPr>
              <w:widowControl/>
              <w:jc w:val="center"/>
              <w:rPr>
                <w:rFonts w:ascii="宋体" w:hAnsi="宋体" w:cs="Arial"/>
                <w:b/>
                <w:bCs/>
                <w:color w:val="000000" w:themeColor="text1"/>
                <w:kern w:val="0"/>
                <w:sz w:val="22"/>
                <w:szCs w:val="22"/>
              </w:rPr>
            </w:pPr>
            <w:r w:rsidRPr="0018122A">
              <w:rPr>
                <w:rFonts w:ascii="宋体" w:hAnsi="宋体" w:cs="Arial" w:hint="eastAsia"/>
                <w:b/>
                <w:bCs/>
                <w:color w:val="000000" w:themeColor="text1"/>
                <w:kern w:val="0"/>
                <w:sz w:val="22"/>
                <w:szCs w:val="22"/>
              </w:rPr>
              <w:t>案由</w:t>
            </w:r>
          </w:p>
        </w:tc>
        <w:tc>
          <w:tcPr>
            <w:tcW w:w="1516" w:type="dxa"/>
            <w:tcBorders>
              <w:top w:val="single" w:sz="4" w:space="0" w:color="000000"/>
              <w:left w:val="nil"/>
              <w:bottom w:val="single" w:sz="4" w:space="0" w:color="000000"/>
              <w:right w:val="single" w:sz="4" w:space="0" w:color="000000"/>
            </w:tcBorders>
            <w:shd w:val="clear" w:color="000000" w:fill="FFFFFF"/>
            <w:vAlign w:val="center"/>
            <w:hideMark/>
          </w:tcPr>
          <w:p w:rsidR="00D86FBB" w:rsidRPr="0018122A" w:rsidRDefault="00D86FBB" w:rsidP="00856D85">
            <w:pPr>
              <w:jc w:val="center"/>
              <w:rPr>
                <w:rFonts w:ascii="宋体" w:hAnsi="宋体" w:cs="Arial"/>
                <w:b/>
                <w:bCs/>
                <w:color w:val="000000" w:themeColor="text1"/>
                <w:kern w:val="0"/>
                <w:sz w:val="22"/>
                <w:szCs w:val="22"/>
              </w:rPr>
            </w:pPr>
            <w:r w:rsidRPr="0018122A">
              <w:rPr>
                <w:rFonts w:ascii="宋体" w:hAnsi="宋体" w:cs="Arial" w:hint="eastAsia"/>
                <w:b/>
                <w:bCs/>
                <w:color w:val="000000" w:themeColor="text1"/>
                <w:kern w:val="0"/>
                <w:sz w:val="22"/>
                <w:szCs w:val="22"/>
              </w:rPr>
              <w:t>已结案件</w:t>
            </w:r>
          </w:p>
        </w:tc>
        <w:tc>
          <w:tcPr>
            <w:tcW w:w="1342" w:type="dxa"/>
            <w:tcBorders>
              <w:top w:val="single" w:sz="4" w:space="0" w:color="000000"/>
              <w:left w:val="nil"/>
              <w:bottom w:val="single" w:sz="4" w:space="0" w:color="000000"/>
              <w:right w:val="single" w:sz="4" w:space="0" w:color="000000"/>
            </w:tcBorders>
            <w:shd w:val="clear" w:color="auto" w:fill="auto"/>
            <w:noWrap/>
            <w:vAlign w:val="center"/>
            <w:hideMark/>
          </w:tcPr>
          <w:p w:rsidR="00D86FBB" w:rsidRPr="0018122A" w:rsidRDefault="00D86FBB" w:rsidP="00790C2C">
            <w:pPr>
              <w:widowControl/>
              <w:jc w:val="center"/>
              <w:rPr>
                <w:rFonts w:ascii="宋体" w:hAnsi="宋体" w:cs="Arial"/>
                <w:b/>
                <w:bCs/>
                <w:color w:val="000000" w:themeColor="text1"/>
                <w:kern w:val="0"/>
                <w:sz w:val="22"/>
                <w:szCs w:val="22"/>
              </w:rPr>
            </w:pPr>
            <w:r w:rsidRPr="0018122A">
              <w:rPr>
                <w:rFonts w:ascii="宋体" w:hAnsi="宋体" w:cs="Arial" w:hint="eastAsia"/>
                <w:b/>
                <w:bCs/>
                <w:color w:val="000000" w:themeColor="text1"/>
                <w:kern w:val="0"/>
                <w:sz w:val="22"/>
                <w:szCs w:val="22"/>
              </w:rPr>
              <w:t>案件总数</w:t>
            </w:r>
          </w:p>
        </w:tc>
        <w:tc>
          <w:tcPr>
            <w:tcW w:w="1494" w:type="dxa"/>
            <w:tcBorders>
              <w:top w:val="single" w:sz="4" w:space="0" w:color="000000"/>
              <w:left w:val="nil"/>
              <w:bottom w:val="single" w:sz="4" w:space="0" w:color="000000"/>
              <w:right w:val="single" w:sz="4" w:space="0" w:color="000000"/>
            </w:tcBorders>
            <w:shd w:val="clear" w:color="auto" w:fill="auto"/>
            <w:noWrap/>
            <w:vAlign w:val="center"/>
            <w:hideMark/>
          </w:tcPr>
          <w:p w:rsidR="00D86FBB" w:rsidRPr="0018122A" w:rsidRDefault="00D86FBB" w:rsidP="00790C2C">
            <w:pPr>
              <w:widowControl/>
              <w:jc w:val="center"/>
              <w:rPr>
                <w:rFonts w:ascii="宋体" w:hAnsi="宋体" w:cs="Arial"/>
                <w:b/>
                <w:bCs/>
                <w:color w:val="000000" w:themeColor="text1"/>
                <w:kern w:val="0"/>
                <w:sz w:val="22"/>
                <w:szCs w:val="22"/>
              </w:rPr>
            </w:pPr>
            <w:r w:rsidRPr="0018122A">
              <w:rPr>
                <w:rFonts w:ascii="宋体" w:hAnsi="宋体" w:cs="Arial" w:hint="eastAsia"/>
                <w:b/>
                <w:bCs/>
                <w:color w:val="000000" w:themeColor="text1"/>
                <w:kern w:val="0"/>
                <w:sz w:val="22"/>
                <w:szCs w:val="22"/>
              </w:rPr>
              <w:t>占比</w:t>
            </w:r>
          </w:p>
        </w:tc>
      </w:tr>
      <w:tr w:rsidR="003E1EFD" w:rsidRPr="0018122A" w:rsidTr="003E1EFD">
        <w:trPr>
          <w:trHeight w:val="326"/>
        </w:trPr>
        <w:tc>
          <w:tcPr>
            <w:tcW w:w="649" w:type="dxa"/>
            <w:tcBorders>
              <w:top w:val="nil"/>
              <w:left w:val="single" w:sz="4" w:space="0" w:color="000000"/>
              <w:bottom w:val="single" w:sz="4" w:space="0" w:color="000000"/>
              <w:right w:val="single" w:sz="4" w:space="0" w:color="000000"/>
            </w:tcBorders>
            <w:shd w:val="clear" w:color="000000" w:fill="FFFFFF"/>
            <w:vAlign w:val="center"/>
            <w:hideMark/>
          </w:tcPr>
          <w:p w:rsidR="003E1EFD" w:rsidRDefault="003E1EFD" w:rsidP="003E1EFD">
            <w:pPr>
              <w:jc w:val="center"/>
              <w:rPr>
                <w:rFonts w:ascii="Arial" w:hAnsi="Arial" w:cs="Arial"/>
                <w:color w:val="000000"/>
                <w:sz w:val="20"/>
                <w:szCs w:val="20"/>
              </w:rPr>
            </w:pPr>
            <w:r>
              <w:rPr>
                <w:rFonts w:ascii="Arial" w:hAnsi="Arial" w:cs="Arial"/>
                <w:color w:val="000000"/>
                <w:sz w:val="20"/>
                <w:szCs w:val="20"/>
              </w:rPr>
              <w:t>1</w:t>
            </w:r>
          </w:p>
        </w:tc>
        <w:tc>
          <w:tcPr>
            <w:tcW w:w="3811" w:type="dxa"/>
            <w:tcBorders>
              <w:top w:val="nil"/>
              <w:left w:val="nil"/>
              <w:bottom w:val="single" w:sz="4" w:space="0" w:color="000000"/>
              <w:right w:val="single" w:sz="4" w:space="0" w:color="000000"/>
            </w:tcBorders>
            <w:shd w:val="clear" w:color="000000" w:fill="FFFFFF"/>
            <w:vAlign w:val="center"/>
            <w:hideMark/>
          </w:tcPr>
          <w:p w:rsidR="003E1EFD" w:rsidRDefault="003E1EFD" w:rsidP="003E1EFD">
            <w:pPr>
              <w:jc w:val="center"/>
              <w:rPr>
                <w:rFonts w:ascii="Arial" w:hAnsi="Arial" w:cs="Arial"/>
                <w:color w:val="000000"/>
                <w:sz w:val="20"/>
                <w:szCs w:val="20"/>
              </w:rPr>
            </w:pPr>
            <w:r>
              <w:rPr>
                <w:rFonts w:ascii="Arial" w:hAnsi="Arial" w:cs="Arial"/>
                <w:color w:val="000000"/>
                <w:sz w:val="20"/>
                <w:szCs w:val="20"/>
              </w:rPr>
              <w:t>劳动争议、人事争议</w:t>
            </w:r>
          </w:p>
        </w:tc>
        <w:tc>
          <w:tcPr>
            <w:tcW w:w="1516" w:type="dxa"/>
            <w:tcBorders>
              <w:top w:val="nil"/>
              <w:left w:val="nil"/>
              <w:bottom w:val="single" w:sz="4" w:space="0" w:color="000000"/>
              <w:right w:val="single" w:sz="4" w:space="0" w:color="000000"/>
            </w:tcBorders>
            <w:shd w:val="clear" w:color="000000" w:fill="FFFFFF"/>
            <w:vAlign w:val="center"/>
            <w:hideMark/>
          </w:tcPr>
          <w:p w:rsidR="003E1EFD" w:rsidRDefault="003E1EFD" w:rsidP="003E1EFD">
            <w:pPr>
              <w:jc w:val="center"/>
              <w:rPr>
                <w:rFonts w:ascii="Arial" w:hAnsi="Arial" w:cs="Arial"/>
                <w:color w:val="000000"/>
                <w:sz w:val="18"/>
                <w:szCs w:val="18"/>
              </w:rPr>
            </w:pPr>
            <w:r>
              <w:rPr>
                <w:rFonts w:ascii="Arial" w:hAnsi="Arial" w:cs="Arial"/>
                <w:color w:val="000000"/>
                <w:sz w:val="18"/>
                <w:szCs w:val="18"/>
              </w:rPr>
              <w:t>6</w:t>
            </w:r>
          </w:p>
        </w:tc>
        <w:tc>
          <w:tcPr>
            <w:tcW w:w="1342" w:type="dxa"/>
            <w:tcBorders>
              <w:top w:val="nil"/>
              <w:left w:val="nil"/>
              <w:bottom w:val="single" w:sz="4" w:space="0" w:color="000000"/>
              <w:right w:val="single" w:sz="4" w:space="0" w:color="000000"/>
            </w:tcBorders>
            <w:shd w:val="clear" w:color="auto" w:fill="auto"/>
            <w:noWrap/>
            <w:vAlign w:val="center"/>
            <w:hideMark/>
          </w:tcPr>
          <w:p w:rsidR="003E1EFD" w:rsidRDefault="003E1EFD" w:rsidP="003E1EFD">
            <w:pPr>
              <w:jc w:val="center"/>
              <w:rPr>
                <w:rFonts w:ascii="Arial" w:hAnsi="Arial" w:cs="Arial"/>
                <w:sz w:val="20"/>
                <w:szCs w:val="20"/>
              </w:rPr>
            </w:pPr>
            <w:r>
              <w:rPr>
                <w:rFonts w:ascii="Arial" w:hAnsi="Arial" w:cs="Arial"/>
                <w:sz w:val="20"/>
                <w:szCs w:val="20"/>
              </w:rPr>
              <w:t>907</w:t>
            </w:r>
          </w:p>
        </w:tc>
        <w:tc>
          <w:tcPr>
            <w:tcW w:w="1494" w:type="dxa"/>
            <w:tcBorders>
              <w:top w:val="nil"/>
              <w:left w:val="nil"/>
              <w:bottom w:val="single" w:sz="4" w:space="0" w:color="000000"/>
              <w:right w:val="single" w:sz="4" w:space="0" w:color="000000"/>
            </w:tcBorders>
            <w:shd w:val="clear" w:color="auto" w:fill="auto"/>
            <w:noWrap/>
            <w:vAlign w:val="center"/>
            <w:hideMark/>
          </w:tcPr>
          <w:p w:rsidR="003E1EFD" w:rsidRDefault="003E1EFD" w:rsidP="003E1EFD">
            <w:pPr>
              <w:jc w:val="center"/>
              <w:rPr>
                <w:rFonts w:ascii="Arial" w:hAnsi="Arial" w:cs="Arial"/>
                <w:sz w:val="20"/>
                <w:szCs w:val="20"/>
              </w:rPr>
            </w:pPr>
            <w:r>
              <w:rPr>
                <w:rFonts w:ascii="Arial" w:hAnsi="Arial" w:cs="Arial"/>
                <w:sz w:val="20"/>
                <w:szCs w:val="20"/>
              </w:rPr>
              <w:t>0.66%</w:t>
            </w:r>
          </w:p>
        </w:tc>
      </w:tr>
      <w:tr w:rsidR="003E1EFD" w:rsidRPr="0018122A" w:rsidTr="003E1EFD">
        <w:trPr>
          <w:trHeight w:val="326"/>
        </w:trPr>
        <w:tc>
          <w:tcPr>
            <w:tcW w:w="649" w:type="dxa"/>
            <w:tcBorders>
              <w:top w:val="nil"/>
              <w:left w:val="single" w:sz="4" w:space="0" w:color="000000"/>
              <w:bottom w:val="single" w:sz="4" w:space="0" w:color="000000"/>
              <w:right w:val="single" w:sz="4" w:space="0" w:color="000000"/>
            </w:tcBorders>
            <w:shd w:val="clear" w:color="000000" w:fill="FFFFFF"/>
            <w:vAlign w:val="center"/>
            <w:hideMark/>
          </w:tcPr>
          <w:p w:rsidR="003E1EFD" w:rsidRDefault="003E1EFD" w:rsidP="003E1EFD">
            <w:pPr>
              <w:jc w:val="center"/>
              <w:rPr>
                <w:rFonts w:ascii="Arial" w:hAnsi="Arial" w:cs="Arial"/>
                <w:color w:val="000000"/>
                <w:sz w:val="20"/>
                <w:szCs w:val="20"/>
              </w:rPr>
            </w:pPr>
            <w:r>
              <w:rPr>
                <w:rFonts w:ascii="Arial" w:hAnsi="Arial" w:cs="Arial"/>
                <w:color w:val="000000"/>
                <w:sz w:val="20"/>
                <w:szCs w:val="20"/>
              </w:rPr>
              <w:t>2</w:t>
            </w:r>
          </w:p>
        </w:tc>
        <w:tc>
          <w:tcPr>
            <w:tcW w:w="3811" w:type="dxa"/>
            <w:tcBorders>
              <w:top w:val="nil"/>
              <w:left w:val="nil"/>
              <w:bottom w:val="single" w:sz="4" w:space="0" w:color="000000"/>
              <w:right w:val="single" w:sz="4" w:space="0" w:color="000000"/>
            </w:tcBorders>
            <w:shd w:val="clear" w:color="000000" w:fill="FFFFFF"/>
            <w:vAlign w:val="center"/>
            <w:hideMark/>
          </w:tcPr>
          <w:p w:rsidR="003E1EFD" w:rsidRDefault="003E1EFD" w:rsidP="003E1EFD">
            <w:pPr>
              <w:jc w:val="center"/>
              <w:rPr>
                <w:rFonts w:ascii="Arial" w:hAnsi="Arial" w:cs="Arial"/>
                <w:color w:val="000000"/>
                <w:sz w:val="20"/>
                <w:szCs w:val="20"/>
              </w:rPr>
            </w:pPr>
            <w:r>
              <w:rPr>
                <w:rFonts w:ascii="Arial" w:hAnsi="Arial" w:cs="Arial"/>
                <w:color w:val="000000"/>
                <w:sz w:val="20"/>
                <w:szCs w:val="20"/>
              </w:rPr>
              <w:t>与公司、证券、保险、票据等有关的民事纠纷</w:t>
            </w:r>
          </w:p>
        </w:tc>
        <w:tc>
          <w:tcPr>
            <w:tcW w:w="1516" w:type="dxa"/>
            <w:tcBorders>
              <w:top w:val="nil"/>
              <w:left w:val="nil"/>
              <w:bottom w:val="single" w:sz="4" w:space="0" w:color="000000"/>
              <w:right w:val="single" w:sz="4" w:space="0" w:color="000000"/>
            </w:tcBorders>
            <w:shd w:val="clear" w:color="000000" w:fill="FFFFFF"/>
            <w:vAlign w:val="center"/>
            <w:hideMark/>
          </w:tcPr>
          <w:p w:rsidR="003E1EFD" w:rsidRDefault="003E1EFD" w:rsidP="003E1EFD">
            <w:pPr>
              <w:jc w:val="center"/>
              <w:rPr>
                <w:rFonts w:ascii="Arial" w:hAnsi="Arial" w:cs="Arial"/>
                <w:color w:val="000000"/>
                <w:sz w:val="18"/>
                <w:szCs w:val="18"/>
              </w:rPr>
            </w:pPr>
            <w:r>
              <w:rPr>
                <w:rFonts w:ascii="Arial" w:hAnsi="Arial" w:cs="Arial"/>
                <w:color w:val="000000"/>
                <w:sz w:val="18"/>
                <w:szCs w:val="18"/>
              </w:rPr>
              <w:t>3</w:t>
            </w:r>
          </w:p>
        </w:tc>
        <w:tc>
          <w:tcPr>
            <w:tcW w:w="1342" w:type="dxa"/>
            <w:tcBorders>
              <w:top w:val="nil"/>
              <w:left w:val="nil"/>
              <w:bottom w:val="single" w:sz="4" w:space="0" w:color="000000"/>
              <w:right w:val="single" w:sz="4" w:space="0" w:color="000000"/>
            </w:tcBorders>
            <w:shd w:val="clear" w:color="auto" w:fill="auto"/>
            <w:noWrap/>
            <w:vAlign w:val="center"/>
            <w:hideMark/>
          </w:tcPr>
          <w:p w:rsidR="003E1EFD" w:rsidRDefault="003E1EFD" w:rsidP="003E1EFD">
            <w:pPr>
              <w:jc w:val="center"/>
              <w:rPr>
                <w:rFonts w:ascii="Arial" w:hAnsi="Arial" w:cs="Arial"/>
                <w:sz w:val="20"/>
                <w:szCs w:val="20"/>
              </w:rPr>
            </w:pPr>
            <w:r>
              <w:rPr>
                <w:rFonts w:ascii="Arial" w:hAnsi="Arial" w:cs="Arial"/>
                <w:sz w:val="20"/>
                <w:szCs w:val="20"/>
              </w:rPr>
              <w:t>907</w:t>
            </w:r>
          </w:p>
        </w:tc>
        <w:tc>
          <w:tcPr>
            <w:tcW w:w="1494" w:type="dxa"/>
            <w:tcBorders>
              <w:top w:val="nil"/>
              <w:left w:val="nil"/>
              <w:bottom w:val="single" w:sz="4" w:space="0" w:color="000000"/>
              <w:right w:val="single" w:sz="4" w:space="0" w:color="000000"/>
            </w:tcBorders>
            <w:shd w:val="clear" w:color="auto" w:fill="auto"/>
            <w:noWrap/>
            <w:vAlign w:val="center"/>
            <w:hideMark/>
          </w:tcPr>
          <w:p w:rsidR="003E1EFD" w:rsidRDefault="003E1EFD" w:rsidP="003E1EFD">
            <w:pPr>
              <w:jc w:val="center"/>
              <w:rPr>
                <w:rFonts w:ascii="Arial" w:hAnsi="Arial" w:cs="Arial"/>
                <w:sz w:val="20"/>
                <w:szCs w:val="20"/>
              </w:rPr>
            </w:pPr>
            <w:r>
              <w:rPr>
                <w:rFonts w:ascii="Arial" w:hAnsi="Arial" w:cs="Arial"/>
                <w:sz w:val="20"/>
                <w:szCs w:val="20"/>
              </w:rPr>
              <w:t>0.33%</w:t>
            </w:r>
          </w:p>
        </w:tc>
      </w:tr>
      <w:tr w:rsidR="003E1EFD" w:rsidRPr="0018122A" w:rsidTr="003E1EFD">
        <w:trPr>
          <w:trHeight w:val="326"/>
        </w:trPr>
        <w:tc>
          <w:tcPr>
            <w:tcW w:w="649" w:type="dxa"/>
            <w:tcBorders>
              <w:top w:val="nil"/>
              <w:left w:val="single" w:sz="4" w:space="0" w:color="000000"/>
              <w:bottom w:val="single" w:sz="4" w:space="0" w:color="000000"/>
              <w:right w:val="single" w:sz="4" w:space="0" w:color="000000"/>
            </w:tcBorders>
            <w:shd w:val="clear" w:color="000000" w:fill="FFFFFF"/>
            <w:vAlign w:val="center"/>
            <w:hideMark/>
          </w:tcPr>
          <w:p w:rsidR="003E1EFD" w:rsidRDefault="003E1EFD" w:rsidP="003E1EFD">
            <w:pPr>
              <w:jc w:val="center"/>
              <w:rPr>
                <w:rFonts w:ascii="Arial" w:hAnsi="Arial" w:cs="Arial"/>
                <w:color w:val="000000"/>
                <w:sz w:val="20"/>
                <w:szCs w:val="20"/>
              </w:rPr>
            </w:pPr>
            <w:r>
              <w:rPr>
                <w:rFonts w:ascii="Arial" w:hAnsi="Arial" w:cs="Arial"/>
                <w:color w:val="000000"/>
                <w:sz w:val="20"/>
                <w:szCs w:val="20"/>
              </w:rPr>
              <w:t>3</w:t>
            </w:r>
          </w:p>
        </w:tc>
        <w:tc>
          <w:tcPr>
            <w:tcW w:w="3811" w:type="dxa"/>
            <w:tcBorders>
              <w:top w:val="nil"/>
              <w:left w:val="nil"/>
              <w:bottom w:val="single" w:sz="4" w:space="0" w:color="000000"/>
              <w:right w:val="single" w:sz="4" w:space="0" w:color="000000"/>
            </w:tcBorders>
            <w:shd w:val="clear" w:color="000000" w:fill="FFFFFF"/>
            <w:vAlign w:val="center"/>
            <w:hideMark/>
          </w:tcPr>
          <w:p w:rsidR="003E1EFD" w:rsidRDefault="003E1EFD" w:rsidP="003E1EFD">
            <w:pPr>
              <w:jc w:val="center"/>
              <w:rPr>
                <w:rFonts w:ascii="Arial" w:hAnsi="Arial" w:cs="Arial"/>
                <w:color w:val="000000"/>
                <w:sz w:val="20"/>
                <w:szCs w:val="20"/>
              </w:rPr>
            </w:pPr>
            <w:r>
              <w:rPr>
                <w:rFonts w:ascii="Arial" w:hAnsi="Arial" w:cs="Arial"/>
                <w:color w:val="000000"/>
                <w:sz w:val="20"/>
                <w:szCs w:val="20"/>
              </w:rPr>
              <w:t>人格权纠纷</w:t>
            </w:r>
          </w:p>
        </w:tc>
        <w:tc>
          <w:tcPr>
            <w:tcW w:w="1516" w:type="dxa"/>
            <w:tcBorders>
              <w:top w:val="nil"/>
              <w:left w:val="nil"/>
              <w:bottom w:val="single" w:sz="4" w:space="0" w:color="000000"/>
              <w:right w:val="single" w:sz="4" w:space="0" w:color="000000"/>
            </w:tcBorders>
            <w:shd w:val="clear" w:color="000000" w:fill="FFFFFF"/>
            <w:vAlign w:val="center"/>
            <w:hideMark/>
          </w:tcPr>
          <w:p w:rsidR="003E1EFD" w:rsidRDefault="003E1EFD" w:rsidP="003E1EFD">
            <w:pPr>
              <w:jc w:val="center"/>
              <w:rPr>
                <w:rFonts w:ascii="Arial" w:hAnsi="Arial" w:cs="Arial"/>
                <w:color w:val="000000"/>
                <w:sz w:val="18"/>
                <w:szCs w:val="18"/>
              </w:rPr>
            </w:pPr>
            <w:r>
              <w:rPr>
                <w:rFonts w:ascii="Arial" w:hAnsi="Arial" w:cs="Arial"/>
                <w:color w:val="000000"/>
                <w:sz w:val="18"/>
                <w:szCs w:val="18"/>
              </w:rPr>
              <w:t>19</w:t>
            </w:r>
          </w:p>
        </w:tc>
        <w:tc>
          <w:tcPr>
            <w:tcW w:w="1342" w:type="dxa"/>
            <w:tcBorders>
              <w:top w:val="nil"/>
              <w:left w:val="nil"/>
              <w:bottom w:val="single" w:sz="4" w:space="0" w:color="000000"/>
              <w:right w:val="single" w:sz="4" w:space="0" w:color="000000"/>
            </w:tcBorders>
            <w:shd w:val="clear" w:color="auto" w:fill="auto"/>
            <w:noWrap/>
            <w:vAlign w:val="center"/>
            <w:hideMark/>
          </w:tcPr>
          <w:p w:rsidR="003E1EFD" w:rsidRDefault="003E1EFD" w:rsidP="003E1EFD">
            <w:pPr>
              <w:jc w:val="center"/>
              <w:rPr>
                <w:rFonts w:ascii="Arial" w:hAnsi="Arial" w:cs="Arial"/>
                <w:sz w:val="20"/>
                <w:szCs w:val="20"/>
              </w:rPr>
            </w:pPr>
            <w:r>
              <w:rPr>
                <w:rFonts w:ascii="Arial" w:hAnsi="Arial" w:cs="Arial"/>
                <w:sz w:val="20"/>
                <w:szCs w:val="20"/>
              </w:rPr>
              <w:t>907</w:t>
            </w:r>
          </w:p>
        </w:tc>
        <w:tc>
          <w:tcPr>
            <w:tcW w:w="1494" w:type="dxa"/>
            <w:tcBorders>
              <w:top w:val="nil"/>
              <w:left w:val="nil"/>
              <w:bottom w:val="single" w:sz="4" w:space="0" w:color="000000"/>
              <w:right w:val="single" w:sz="4" w:space="0" w:color="000000"/>
            </w:tcBorders>
            <w:shd w:val="clear" w:color="auto" w:fill="auto"/>
            <w:noWrap/>
            <w:vAlign w:val="center"/>
            <w:hideMark/>
          </w:tcPr>
          <w:p w:rsidR="003E1EFD" w:rsidRDefault="003E1EFD" w:rsidP="003E1EFD">
            <w:pPr>
              <w:jc w:val="center"/>
              <w:rPr>
                <w:rFonts w:ascii="Arial" w:hAnsi="Arial" w:cs="Arial"/>
                <w:sz w:val="20"/>
                <w:szCs w:val="20"/>
              </w:rPr>
            </w:pPr>
            <w:r>
              <w:rPr>
                <w:rFonts w:ascii="Arial" w:hAnsi="Arial" w:cs="Arial"/>
                <w:sz w:val="20"/>
                <w:szCs w:val="20"/>
              </w:rPr>
              <w:t>2.09%</w:t>
            </w:r>
          </w:p>
        </w:tc>
      </w:tr>
      <w:tr w:rsidR="003E1EFD" w:rsidRPr="0018122A" w:rsidTr="003E1EFD">
        <w:trPr>
          <w:trHeight w:val="326"/>
        </w:trPr>
        <w:tc>
          <w:tcPr>
            <w:tcW w:w="649" w:type="dxa"/>
            <w:tcBorders>
              <w:top w:val="nil"/>
              <w:left w:val="single" w:sz="4" w:space="0" w:color="000000"/>
              <w:bottom w:val="single" w:sz="4" w:space="0" w:color="000000"/>
              <w:right w:val="single" w:sz="4" w:space="0" w:color="000000"/>
            </w:tcBorders>
            <w:shd w:val="clear" w:color="000000" w:fill="FFFFFF"/>
            <w:vAlign w:val="center"/>
            <w:hideMark/>
          </w:tcPr>
          <w:p w:rsidR="003E1EFD" w:rsidRDefault="003E1EFD" w:rsidP="003E1EFD">
            <w:pPr>
              <w:jc w:val="center"/>
              <w:rPr>
                <w:rFonts w:ascii="Arial" w:hAnsi="Arial" w:cs="Arial"/>
                <w:color w:val="000000"/>
                <w:sz w:val="20"/>
                <w:szCs w:val="20"/>
              </w:rPr>
            </w:pPr>
            <w:r>
              <w:rPr>
                <w:rFonts w:ascii="Arial" w:hAnsi="Arial" w:cs="Arial"/>
                <w:color w:val="000000"/>
                <w:sz w:val="20"/>
                <w:szCs w:val="20"/>
              </w:rPr>
              <w:t>4</w:t>
            </w:r>
          </w:p>
        </w:tc>
        <w:tc>
          <w:tcPr>
            <w:tcW w:w="3811" w:type="dxa"/>
            <w:tcBorders>
              <w:top w:val="nil"/>
              <w:left w:val="nil"/>
              <w:bottom w:val="single" w:sz="4" w:space="0" w:color="000000"/>
              <w:right w:val="single" w:sz="4" w:space="0" w:color="000000"/>
            </w:tcBorders>
            <w:shd w:val="clear" w:color="000000" w:fill="FFFFFF"/>
            <w:vAlign w:val="center"/>
            <w:hideMark/>
          </w:tcPr>
          <w:p w:rsidR="003E1EFD" w:rsidRDefault="003E1EFD" w:rsidP="003E1EFD">
            <w:pPr>
              <w:jc w:val="center"/>
              <w:rPr>
                <w:rFonts w:ascii="Arial" w:hAnsi="Arial" w:cs="Arial"/>
                <w:color w:val="000000"/>
                <w:sz w:val="20"/>
                <w:szCs w:val="20"/>
              </w:rPr>
            </w:pPr>
            <w:r>
              <w:rPr>
                <w:rFonts w:ascii="Arial" w:hAnsi="Arial" w:cs="Arial"/>
                <w:color w:val="000000"/>
                <w:sz w:val="20"/>
                <w:szCs w:val="20"/>
              </w:rPr>
              <w:t>物权纠纷</w:t>
            </w:r>
          </w:p>
        </w:tc>
        <w:tc>
          <w:tcPr>
            <w:tcW w:w="1516" w:type="dxa"/>
            <w:tcBorders>
              <w:top w:val="nil"/>
              <w:left w:val="nil"/>
              <w:bottom w:val="single" w:sz="4" w:space="0" w:color="000000"/>
              <w:right w:val="single" w:sz="4" w:space="0" w:color="000000"/>
            </w:tcBorders>
            <w:shd w:val="clear" w:color="000000" w:fill="FFFFFF"/>
            <w:vAlign w:val="center"/>
            <w:hideMark/>
          </w:tcPr>
          <w:p w:rsidR="003E1EFD" w:rsidRDefault="003E1EFD" w:rsidP="003E1EFD">
            <w:pPr>
              <w:jc w:val="center"/>
              <w:rPr>
                <w:rFonts w:ascii="Arial" w:hAnsi="Arial" w:cs="Arial"/>
                <w:color w:val="000000"/>
                <w:sz w:val="18"/>
                <w:szCs w:val="18"/>
              </w:rPr>
            </w:pPr>
            <w:r>
              <w:rPr>
                <w:rFonts w:ascii="Arial" w:hAnsi="Arial" w:cs="Arial"/>
                <w:color w:val="000000"/>
                <w:sz w:val="18"/>
                <w:szCs w:val="18"/>
              </w:rPr>
              <w:t>52</w:t>
            </w:r>
          </w:p>
        </w:tc>
        <w:tc>
          <w:tcPr>
            <w:tcW w:w="1342" w:type="dxa"/>
            <w:tcBorders>
              <w:top w:val="nil"/>
              <w:left w:val="nil"/>
              <w:bottom w:val="single" w:sz="4" w:space="0" w:color="000000"/>
              <w:right w:val="single" w:sz="4" w:space="0" w:color="000000"/>
            </w:tcBorders>
            <w:shd w:val="clear" w:color="auto" w:fill="auto"/>
            <w:noWrap/>
            <w:vAlign w:val="center"/>
            <w:hideMark/>
          </w:tcPr>
          <w:p w:rsidR="003E1EFD" w:rsidRDefault="003E1EFD" w:rsidP="003E1EFD">
            <w:pPr>
              <w:jc w:val="center"/>
              <w:rPr>
                <w:rFonts w:ascii="Arial" w:hAnsi="Arial" w:cs="Arial"/>
                <w:sz w:val="20"/>
                <w:szCs w:val="20"/>
              </w:rPr>
            </w:pPr>
            <w:r>
              <w:rPr>
                <w:rFonts w:ascii="Arial" w:hAnsi="Arial" w:cs="Arial"/>
                <w:sz w:val="20"/>
                <w:szCs w:val="20"/>
              </w:rPr>
              <w:t>907</w:t>
            </w:r>
          </w:p>
        </w:tc>
        <w:tc>
          <w:tcPr>
            <w:tcW w:w="1494" w:type="dxa"/>
            <w:tcBorders>
              <w:top w:val="nil"/>
              <w:left w:val="nil"/>
              <w:bottom w:val="single" w:sz="4" w:space="0" w:color="000000"/>
              <w:right w:val="single" w:sz="4" w:space="0" w:color="000000"/>
            </w:tcBorders>
            <w:shd w:val="clear" w:color="auto" w:fill="auto"/>
            <w:noWrap/>
            <w:vAlign w:val="center"/>
            <w:hideMark/>
          </w:tcPr>
          <w:p w:rsidR="003E1EFD" w:rsidRDefault="003E1EFD" w:rsidP="003E1EFD">
            <w:pPr>
              <w:jc w:val="center"/>
              <w:rPr>
                <w:rFonts w:ascii="Arial" w:hAnsi="Arial" w:cs="Arial"/>
                <w:sz w:val="20"/>
                <w:szCs w:val="20"/>
              </w:rPr>
            </w:pPr>
            <w:r>
              <w:rPr>
                <w:rFonts w:ascii="Arial" w:hAnsi="Arial" w:cs="Arial"/>
                <w:sz w:val="20"/>
                <w:szCs w:val="20"/>
              </w:rPr>
              <w:t>5.73%</w:t>
            </w:r>
          </w:p>
        </w:tc>
      </w:tr>
      <w:tr w:rsidR="003E1EFD" w:rsidRPr="0018122A" w:rsidTr="003E1EFD">
        <w:trPr>
          <w:trHeight w:val="326"/>
        </w:trPr>
        <w:tc>
          <w:tcPr>
            <w:tcW w:w="649" w:type="dxa"/>
            <w:tcBorders>
              <w:top w:val="nil"/>
              <w:left w:val="single" w:sz="4" w:space="0" w:color="000000"/>
              <w:bottom w:val="single" w:sz="4" w:space="0" w:color="000000"/>
              <w:right w:val="single" w:sz="4" w:space="0" w:color="000000"/>
            </w:tcBorders>
            <w:shd w:val="clear" w:color="000000" w:fill="FFFFFF"/>
            <w:vAlign w:val="center"/>
            <w:hideMark/>
          </w:tcPr>
          <w:p w:rsidR="003E1EFD" w:rsidRDefault="003E1EFD" w:rsidP="003E1EFD">
            <w:pPr>
              <w:jc w:val="center"/>
              <w:rPr>
                <w:rFonts w:ascii="Arial" w:hAnsi="Arial" w:cs="Arial"/>
                <w:color w:val="000000"/>
                <w:sz w:val="20"/>
                <w:szCs w:val="20"/>
              </w:rPr>
            </w:pPr>
            <w:r>
              <w:rPr>
                <w:rFonts w:ascii="Arial" w:hAnsi="Arial" w:cs="Arial"/>
                <w:color w:val="000000"/>
                <w:sz w:val="20"/>
                <w:szCs w:val="20"/>
              </w:rPr>
              <w:t>5</w:t>
            </w:r>
          </w:p>
        </w:tc>
        <w:tc>
          <w:tcPr>
            <w:tcW w:w="3811" w:type="dxa"/>
            <w:tcBorders>
              <w:top w:val="nil"/>
              <w:left w:val="nil"/>
              <w:bottom w:val="single" w:sz="4" w:space="0" w:color="000000"/>
              <w:right w:val="single" w:sz="4" w:space="0" w:color="000000"/>
            </w:tcBorders>
            <w:shd w:val="clear" w:color="000000" w:fill="FFFFFF"/>
            <w:vAlign w:val="center"/>
            <w:hideMark/>
          </w:tcPr>
          <w:p w:rsidR="003E1EFD" w:rsidRDefault="003E1EFD" w:rsidP="003E1EFD">
            <w:pPr>
              <w:jc w:val="center"/>
              <w:rPr>
                <w:rFonts w:ascii="Arial" w:hAnsi="Arial" w:cs="Arial"/>
                <w:color w:val="000000"/>
                <w:sz w:val="20"/>
                <w:szCs w:val="20"/>
              </w:rPr>
            </w:pPr>
            <w:r>
              <w:rPr>
                <w:rFonts w:ascii="Arial" w:hAnsi="Arial" w:cs="Arial"/>
                <w:color w:val="000000"/>
                <w:sz w:val="20"/>
                <w:szCs w:val="20"/>
              </w:rPr>
              <w:t>适用特殊程序案件案由</w:t>
            </w:r>
          </w:p>
        </w:tc>
        <w:tc>
          <w:tcPr>
            <w:tcW w:w="1516" w:type="dxa"/>
            <w:tcBorders>
              <w:top w:val="nil"/>
              <w:left w:val="nil"/>
              <w:bottom w:val="single" w:sz="4" w:space="0" w:color="000000"/>
              <w:right w:val="single" w:sz="4" w:space="0" w:color="000000"/>
            </w:tcBorders>
            <w:shd w:val="clear" w:color="000000" w:fill="FFFFFF"/>
            <w:vAlign w:val="center"/>
            <w:hideMark/>
          </w:tcPr>
          <w:p w:rsidR="003E1EFD" w:rsidRDefault="003E1EFD" w:rsidP="003E1EFD">
            <w:pPr>
              <w:jc w:val="center"/>
              <w:rPr>
                <w:rFonts w:ascii="Arial" w:hAnsi="Arial" w:cs="Arial"/>
                <w:color w:val="000000"/>
                <w:sz w:val="18"/>
                <w:szCs w:val="18"/>
              </w:rPr>
            </w:pPr>
            <w:r>
              <w:rPr>
                <w:rFonts w:ascii="Arial" w:hAnsi="Arial" w:cs="Arial"/>
                <w:color w:val="000000"/>
                <w:sz w:val="18"/>
                <w:szCs w:val="18"/>
              </w:rPr>
              <w:t>5</w:t>
            </w:r>
          </w:p>
        </w:tc>
        <w:tc>
          <w:tcPr>
            <w:tcW w:w="1342" w:type="dxa"/>
            <w:tcBorders>
              <w:top w:val="nil"/>
              <w:left w:val="nil"/>
              <w:bottom w:val="single" w:sz="4" w:space="0" w:color="000000"/>
              <w:right w:val="single" w:sz="4" w:space="0" w:color="000000"/>
            </w:tcBorders>
            <w:shd w:val="clear" w:color="auto" w:fill="auto"/>
            <w:noWrap/>
            <w:vAlign w:val="center"/>
            <w:hideMark/>
          </w:tcPr>
          <w:p w:rsidR="003E1EFD" w:rsidRDefault="003E1EFD" w:rsidP="003E1EFD">
            <w:pPr>
              <w:jc w:val="center"/>
              <w:rPr>
                <w:rFonts w:ascii="Arial" w:hAnsi="Arial" w:cs="Arial"/>
                <w:sz w:val="20"/>
                <w:szCs w:val="20"/>
              </w:rPr>
            </w:pPr>
            <w:r>
              <w:rPr>
                <w:rFonts w:ascii="Arial" w:hAnsi="Arial" w:cs="Arial"/>
                <w:sz w:val="20"/>
                <w:szCs w:val="20"/>
              </w:rPr>
              <w:t>907</w:t>
            </w:r>
          </w:p>
        </w:tc>
        <w:tc>
          <w:tcPr>
            <w:tcW w:w="1494" w:type="dxa"/>
            <w:tcBorders>
              <w:top w:val="nil"/>
              <w:left w:val="nil"/>
              <w:bottom w:val="single" w:sz="4" w:space="0" w:color="000000"/>
              <w:right w:val="single" w:sz="4" w:space="0" w:color="000000"/>
            </w:tcBorders>
            <w:shd w:val="clear" w:color="auto" w:fill="auto"/>
            <w:noWrap/>
            <w:vAlign w:val="center"/>
            <w:hideMark/>
          </w:tcPr>
          <w:p w:rsidR="003E1EFD" w:rsidRDefault="003E1EFD" w:rsidP="003E1EFD">
            <w:pPr>
              <w:jc w:val="center"/>
              <w:rPr>
                <w:rFonts w:ascii="Arial" w:hAnsi="Arial" w:cs="Arial"/>
                <w:sz w:val="20"/>
                <w:szCs w:val="20"/>
              </w:rPr>
            </w:pPr>
            <w:r>
              <w:rPr>
                <w:rFonts w:ascii="Arial" w:hAnsi="Arial" w:cs="Arial"/>
                <w:sz w:val="20"/>
                <w:szCs w:val="20"/>
              </w:rPr>
              <w:t>0.55%</w:t>
            </w:r>
          </w:p>
        </w:tc>
      </w:tr>
      <w:tr w:rsidR="003E1EFD" w:rsidRPr="0018122A" w:rsidTr="003E1EFD">
        <w:trPr>
          <w:trHeight w:val="567"/>
        </w:trPr>
        <w:tc>
          <w:tcPr>
            <w:tcW w:w="649" w:type="dxa"/>
            <w:tcBorders>
              <w:top w:val="nil"/>
              <w:left w:val="single" w:sz="4" w:space="0" w:color="000000"/>
              <w:bottom w:val="single" w:sz="4" w:space="0" w:color="000000"/>
              <w:right w:val="single" w:sz="4" w:space="0" w:color="000000"/>
            </w:tcBorders>
            <w:shd w:val="clear" w:color="000000" w:fill="FFFFFF"/>
            <w:vAlign w:val="center"/>
            <w:hideMark/>
          </w:tcPr>
          <w:p w:rsidR="003E1EFD" w:rsidRDefault="003E1EFD" w:rsidP="003E1EFD">
            <w:pPr>
              <w:jc w:val="center"/>
              <w:rPr>
                <w:rFonts w:ascii="Arial" w:hAnsi="Arial" w:cs="Arial"/>
                <w:color w:val="000000"/>
                <w:sz w:val="20"/>
                <w:szCs w:val="20"/>
              </w:rPr>
            </w:pPr>
            <w:r>
              <w:rPr>
                <w:rFonts w:ascii="Arial" w:hAnsi="Arial" w:cs="Arial"/>
                <w:color w:val="000000"/>
                <w:sz w:val="20"/>
                <w:szCs w:val="20"/>
              </w:rPr>
              <w:t>6</w:t>
            </w:r>
          </w:p>
        </w:tc>
        <w:tc>
          <w:tcPr>
            <w:tcW w:w="3811" w:type="dxa"/>
            <w:tcBorders>
              <w:top w:val="nil"/>
              <w:left w:val="nil"/>
              <w:bottom w:val="single" w:sz="4" w:space="0" w:color="000000"/>
              <w:right w:val="single" w:sz="4" w:space="0" w:color="000000"/>
            </w:tcBorders>
            <w:shd w:val="clear" w:color="000000" w:fill="FFFFFF"/>
            <w:vAlign w:val="center"/>
            <w:hideMark/>
          </w:tcPr>
          <w:p w:rsidR="003E1EFD" w:rsidRDefault="003E1EFD" w:rsidP="003E1EFD">
            <w:pPr>
              <w:jc w:val="center"/>
              <w:rPr>
                <w:rFonts w:ascii="Arial" w:hAnsi="Arial" w:cs="Arial"/>
                <w:color w:val="000000"/>
                <w:sz w:val="20"/>
                <w:szCs w:val="20"/>
              </w:rPr>
            </w:pPr>
            <w:r>
              <w:rPr>
                <w:rFonts w:ascii="Arial" w:hAnsi="Arial" w:cs="Arial"/>
                <w:color w:val="000000"/>
                <w:sz w:val="20"/>
                <w:szCs w:val="20"/>
              </w:rPr>
              <w:t>婚姻家庭、继承纠纷</w:t>
            </w:r>
          </w:p>
        </w:tc>
        <w:tc>
          <w:tcPr>
            <w:tcW w:w="1516" w:type="dxa"/>
            <w:tcBorders>
              <w:top w:val="nil"/>
              <w:left w:val="nil"/>
              <w:bottom w:val="single" w:sz="4" w:space="0" w:color="000000"/>
              <w:right w:val="single" w:sz="4" w:space="0" w:color="000000"/>
            </w:tcBorders>
            <w:shd w:val="clear" w:color="000000" w:fill="FFFFFF"/>
            <w:vAlign w:val="center"/>
            <w:hideMark/>
          </w:tcPr>
          <w:p w:rsidR="003E1EFD" w:rsidRDefault="003E1EFD" w:rsidP="003E1EFD">
            <w:pPr>
              <w:jc w:val="center"/>
              <w:rPr>
                <w:rFonts w:ascii="Arial" w:hAnsi="Arial" w:cs="Arial"/>
                <w:color w:val="000000"/>
                <w:sz w:val="18"/>
                <w:szCs w:val="18"/>
              </w:rPr>
            </w:pPr>
            <w:r>
              <w:rPr>
                <w:rFonts w:ascii="Arial" w:hAnsi="Arial" w:cs="Arial"/>
                <w:color w:val="000000"/>
                <w:sz w:val="18"/>
                <w:szCs w:val="18"/>
              </w:rPr>
              <w:t>106</w:t>
            </w:r>
          </w:p>
        </w:tc>
        <w:tc>
          <w:tcPr>
            <w:tcW w:w="1342" w:type="dxa"/>
            <w:tcBorders>
              <w:top w:val="nil"/>
              <w:left w:val="nil"/>
              <w:bottom w:val="single" w:sz="4" w:space="0" w:color="000000"/>
              <w:right w:val="single" w:sz="4" w:space="0" w:color="000000"/>
            </w:tcBorders>
            <w:shd w:val="clear" w:color="auto" w:fill="auto"/>
            <w:noWrap/>
            <w:vAlign w:val="center"/>
            <w:hideMark/>
          </w:tcPr>
          <w:p w:rsidR="003E1EFD" w:rsidRDefault="003E1EFD" w:rsidP="003E1EFD">
            <w:pPr>
              <w:jc w:val="center"/>
              <w:rPr>
                <w:rFonts w:ascii="Arial" w:hAnsi="Arial" w:cs="Arial"/>
                <w:sz w:val="20"/>
                <w:szCs w:val="20"/>
              </w:rPr>
            </w:pPr>
            <w:r>
              <w:rPr>
                <w:rFonts w:ascii="Arial" w:hAnsi="Arial" w:cs="Arial"/>
                <w:sz w:val="20"/>
                <w:szCs w:val="20"/>
              </w:rPr>
              <w:t>907</w:t>
            </w:r>
          </w:p>
        </w:tc>
        <w:tc>
          <w:tcPr>
            <w:tcW w:w="1494" w:type="dxa"/>
            <w:tcBorders>
              <w:top w:val="nil"/>
              <w:left w:val="nil"/>
              <w:bottom w:val="single" w:sz="4" w:space="0" w:color="000000"/>
              <w:right w:val="single" w:sz="4" w:space="0" w:color="000000"/>
            </w:tcBorders>
            <w:shd w:val="clear" w:color="auto" w:fill="auto"/>
            <w:noWrap/>
            <w:vAlign w:val="center"/>
            <w:hideMark/>
          </w:tcPr>
          <w:p w:rsidR="003E1EFD" w:rsidRDefault="003E1EFD" w:rsidP="003E1EFD">
            <w:pPr>
              <w:jc w:val="center"/>
              <w:rPr>
                <w:rFonts w:ascii="Arial" w:hAnsi="Arial" w:cs="Arial"/>
                <w:sz w:val="20"/>
                <w:szCs w:val="20"/>
              </w:rPr>
            </w:pPr>
            <w:r>
              <w:rPr>
                <w:rFonts w:ascii="Arial" w:hAnsi="Arial" w:cs="Arial"/>
                <w:sz w:val="20"/>
                <w:szCs w:val="20"/>
              </w:rPr>
              <w:t>11.69%</w:t>
            </w:r>
          </w:p>
        </w:tc>
      </w:tr>
      <w:tr w:rsidR="003E1EFD" w:rsidRPr="0018122A" w:rsidTr="003E1EFD">
        <w:trPr>
          <w:trHeight w:val="567"/>
        </w:trPr>
        <w:tc>
          <w:tcPr>
            <w:tcW w:w="649" w:type="dxa"/>
            <w:tcBorders>
              <w:top w:val="nil"/>
              <w:left w:val="single" w:sz="4" w:space="0" w:color="000000"/>
              <w:bottom w:val="single" w:sz="4" w:space="0" w:color="000000"/>
              <w:right w:val="single" w:sz="4" w:space="0" w:color="000000"/>
            </w:tcBorders>
            <w:shd w:val="clear" w:color="000000" w:fill="FFFFFF"/>
            <w:vAlign w:val="center"/>
            <w:hideMark/>
          </w:tcPr>
          <w:p w:rsidR="003E1EFD" w:rsidRDefault="003E1EFD" w:rsidP="003E1EFD">
            <w:pPr>
              <w:jc w:val="center"/>
              <w:rPr>
                <w:rFonts w:ascii="Arial" w:hAnsi="Arial" w:cs="Arial"/>
                <w:color w:val="000000"/>
                <w:sz w:val="20"/>
                <w:szCs w:val="20"/>
              </w:rPr>
            </w:pPr>
            <w:r>
              <w:rPr>
                <w:rFonts w:ascii="Arial" w:hAnsi="Arial" w:cs="Arial"/>
                <w:color w:val="000000"/>
                <w:sz w:val="20"/>
                <w:szCs w:val="20"/>
              </w:rPr>
              <w:t>7</w:t>
            </w:r>
          </w:p>
        </w:tc>
        <w:tc>
          <w:tcPr>
            <w:tcW w:w="3811" w:type="dxa"/>
            <w:tcBorders>
              <w:top w:val="nil"/>
              <w:left w:val="nil"/>
              <w:bottom w:val="single" w:sz="4" w:space="0" w:color="000000"/>
              <w:right w:val="single" w:sz="4" w:space="0" w:color="000000"/>
            </w:tcBorders>
            <w:shd w:val="clear" w:color="000000" w:fill="FFFFFF"/>
            <w:vAlign w:val="center"/>
            <w:hideMark/>
          </w:tcPr>
          <w:p w:rsidR="003E1EFD" w:rsidRDefault="003E1EFD" w:rsidP="003E1EFD">
            <w:pPr>
              <w:jc w:val="center"/>
              <w:rPr>
                <w:rFonts w:ascii="Arial" w:hAnsi="Arial" w:cs="Arial"/>
                <w:color w:val="000000"/>
                <w:sz w:val="20"/>
                <w:szCs w:val="20"/>
              </w:rPr>
            </w:pPr>
            <w:r>
              <w:rPr>
                <w:rFonts w:ascii="Arial" w:hAnsi="Arial" w:cs="Arial"/>
                <w:color w:val="000000"/>
                <w:sz w:val="20"/>
                <w:szCs w:val="20"/>
              </w:rPr>
              <w:t>侵权责任纠纷</w:t>
            </w:r>
          </w:p>
        </w:tc>
        <w:tc>
          <w:tcPr>
            <w:tcW w:w="1516" w:type="dxa"/>
            <w:tcBorders>
              <w:top w:val="nil"/>
              <w:left w:val="nil"/>
              <w:bottom w:val="single" w:sz="4" w:space="0" w:color="000000"/>
              <w:right w:val="single" w:sz="4" w:space="0" w:color="000000"/>
            </w:tcBorders>
            <w:shd w:val="clear" w:color="000000" w:fill="FFFFFF"/>
            <w:vAlign w:val="center"/>
            <w:hideMark/>
          </w:tcPr>
          <w:p w:rsidR="003E1EFD" w:rsidRDefault="003E1EFD" w:rsidP="003E1EFD">
            <w:pPr>
              <w:jc w:val="center"/>
              <w:rPr>
                <w:rFonts w:ascii="Arial" w:hAnsi="Arial" w:cs="Arial"/>
                <w:color w:val="000000"/>
                <w:sz w:val="18"/>
                <w:szCs w:val="18"/>
              </w:rPr>
            </w:pPr>
            <w:r>
              <w:rPr>
                <w:rFonts w:ascii="Arial" w:hAnsi="Arial" w:cs="Arial"/>
                <w:color w:val="000000"/>
                <w:sz w:val="18"/>
                <w:szCs w:val="18"/>
              </w:rPr>
              <w:t>34</w:t>
            </w:r>
          </w:p>
        </w:tc>
        <w:tc>
          <w:tcPr>
            <w:tcW w:w="1342" w:type="dxa"/>
            <w:tcBorders>
              <w:top w:val="nil"/>
              <w:left w:val="nil"/>
              <w:bottom w:val="single" w:sz="4" w:space="0" w:color="000000"/>
              <w:right w:val="single" w:sz="4" w:space="0" w:color="000000"/>
            </w:tcBorders>
            <w:shd w:val="clear" w:color="auto" w:fill="auto"/>
            <w:noWrap/>
            <w:vAlign w:val="center"/>
            <w:hideMark/>
          </w:tcPr>
          <w:p w:rsidR="003E1EFD" w:rsidRDefault="003E1EFD" w:rsidP="003E1EFD">
            <w:pPr>
              <w:jc w:val="center"/>
              <w:rPr>
                <w:rFonts w:ascii="Arial" w:hAnsi="Arial" w:cs="Arial"/>
                <w:sz w:val="20"/>
                <w:szCs w:val="20"/>
              </w:rPr>
            </w:pPr>
            <w:r>
              <w:rPr>
                <w:rFonts w:ascii="Arial" w:hAnsi="Arial" w:cs="Arial"/>
                <w:sz w:val="20"/>
                <w:szCs w:val="20"/>
              </w:rPr>
              <w:t>907</w:t>
            </w:r>
          </w:p>
        </w:tc>
        <w:tc>
          <w:tcPr>
            <w:tcW w:w="1494" w:type="dxa"/>
            <w:tcBorders>
              <w:top w:val="nil"/>
              <w:left w:val="nil"/>
              <w:bottom w:val="single" w:sz="4" w:space="0" w:color="000000"/>
              <w:right w:val="single" w:sz="4" w:space="0" w:color="000000"/>
            </w:tcBorders>
            <w:shd w:val="clear" w:color="auto" w:fill="auto"/>
            <w:noWrap/>
            <w:vAlign w:val="center"/>
            <w:hideMark/>
          </w:tcPr>
          <w:p w:rsidR="003E1EFD" w:rsidRDefault="003E1EFD" w:rsidP="003E1EFD">
            <w:pPr>
              <w:jc w:val="center"/>
              <w:rPr>
                <w:rFonts w:ascii="Arial" w:hAnsi="Arial" w:cs="Arial"/>
                <w:sz w:val="20"/>
                <w:szCs w:val="20"/>
              </w:rPr>
            </w:pPr>
            <w:r>
              <w:rPr>
                <w:rFonts w:ascii="Arial" w:hAnsi="Arial" w:cs="Arial"/>
                <w:sz w:val="20"/>
                <w:szCs w:val="20"/>
              </w:rPr>
              <w:t>3.75%</w:t>
            </w:r>
          </w:p>
        </w:tc>
      </w:tr>
      <w:tr w:rsidR="003E1EFD" w:rsidRPr="0018122A" w:rsidTr="003E1EFD">
        <w:trPr>
          <w:trHeight w:val="567"/>
        </w:trPr>
        <w:tc>
          <w:tcPr>
            <w:tcW w:w="649" w:type="dxa"/>
            <w:tcBorders>
              <w:top w:val="nil"/>
              <w:left w:val="single" w:sz="4" w:space="0" w:color="000000"/>
              <w:bottom w:val="single" w:sz="4" w:space="0" w:color="000000"/>
              <w:right w:val="single" w:sz="4" w:space="0" w:color="000000"/>
            </w:tcBorders>
            <w:shd w:val="clear" w:color="000000" w:fill="FFFFFF"/>
            <w:vAlign w:val="center"/>
            <w:hideMark/>
          </w:tcPr>
          <w:p w:rsidR="003E1EFD" w:rsidRDefault="003E1EFD" w:rsidP="003E1EFD">
            <w:pPr>
              <w:jc w:val="center"/>
              <w:rPr>
                <w:rFonts w:ascii="Arial" w:hAnsi="Arial" w:cs="Arial"/>
                <w:color w:val="000000"/>
                <w:sz w:val="20"/>
                <w:szCs w:val="20"/>
              </w:rPr>
            </w:pPr>
            <w:r>
              <w:rPr>
                <w:rFonts w:ascii="Arial" w:hAnsi="Arial" w:cs="Arial"/>
                <w:color w:val="000000"/>
                <w:sz w:val="20"/>
                <w:szCs w:val="20"/>
              </w:rPr>
              <w:t>8</w:t>
            </w:r>
          </w:p>
        </w:tc>
        <w:tc>
          <w:tcPr>
            <w:tcW w:w="3811" w:type="dxa"/>
            <w:tcBorders>
              <w:top w:val="nil"/>
              <w:left w:val="nil"/>
              <w:bottom w:val="single" w:sz="4" w:space="0" w:color="000000"/>
              <w:right w:val="single" w:sz="4" w:space="0" w:color="000000"/>
            </w:tcBorders>
            <w:shd w:val="clear" w:color="000000" w:fill="FFFFFF"/>
            <w:vAlign w:val="center"/>
            <w:hideMark/>
          </w:tcPr>
          <w:p w:rsidR="003E1EFD" w:rsidRDefault="003E1EFD" w:rsidP="003E1EFD">
            <w:pPr>
              <w:jc w:val="center"/>
              <w:rPr>
                <w:rFonts w:ascii="Arial" w:hAnsi="Arial" w:cs="Arial"/>
                <w:color w:val="000000"/>
                <w:sz w:val="20"/>
                <w:szCs w:val="20"/>
              </w:rPr>
            </w:pPr>
            <w:r>
              <w:rPr>
                <w:rFonts w:ascii="Arial" w:hAnsi="Arial" w:cs="Arial"/>
                <w:color w:val="000000"/>
                <w:sz w:val="20"/>
                <w:szCs w:val="20"/>
              </w:rPr>
              <w:t>合同、无因管理、不当得利纠纷</w:t>
            </w:r>
          </w:p>
        </w:tc>
        <w:tc>
          <w:tcPr>
            <w:tcW w:w="1516" w:type="dxa"/>
            <w:tcBorders>
              <w:top w:val="nil"/>
              <w:left w:val="nil"/>
              <w:bottom w:val="single" w:sz="4" w:space="0" w:color="000000"/>
              <w:right w:val="single" w:sz="4" w:space="0" w:color="000000"/>
            </w:tcBorders>
            <w:shd w:val="clear" w:color="000000" w:fill="FFFFFF"/>
            <w:vAlign w:val="center"/>
            <w:hideMark/>
          </w:tcPr>
          <w:p w:rsidR="003E1EFD" w:rsidRDefault="003E1EFD" w:rsidP="003E1EFD">
            <w:pPr>
              <w:jc w:val="center"/>
              <w:rPr>
                <w:rFonts w:ascii="Arial" w:hAnsi="Arial" w:cs="Arial"/>
                <w:color w:val="000000"/>
                <w:sz w:val="18"/>
                <w:szCs w:val="18"/>
              </w:rPr>
            </w:pPr>
            <w:r>
              <w:rPr>
                <w:rFonts w:ascii="Arial" w:hAnsi="Arial" w:cs="Arial"/>
                <w:color w:val="000000"/>
                <w:sz w:val="18"/>
                <w:szCs w:val="18"/>
              </w:rPr>
              <w:t>682</w:t>
            </w:r>
          </w:p>
        </w:tc>
        <w:tc>
          <w:tcPr>
            <w:tcW w:w="1342" w:type="dxa"/>
            <w:tcBorders>
              <w:top w:val="nil"/>
              <w:left w:val="nil"/>
              <w:bottom w:val="single" w:sz="4" w:space="0" w:color="000000"/>
              <w:right w:val="single" w:sz="4" w:space="0" w:color="000000"/>
            </w:tcBorders>
            <w:shd w:val="clear" w:color="auto" w:fill="auto"/>
            <w:noWrap/>
            <w:vAlign w:val="center"/>
            <w:hideMark/>
          </w:tcPr>
          <w:p w:rsidR="003E1EFD" w:rsidRDefault="003E1EFD" w:rsidP="003E1EFD">
            <w:pPr>
              <w:jc w:val="center"/>
              <w:rPr>
                <w:rFonts w:ascii="Arial" w:hAnsi="Arial" w:cs="Arial"/>
                <w:sz w:val="20"/>
                <w:szCs w:val="20"/>
              </w:rPr>
            </w:pPr>
            <w:r>
              <w:rPr>
                <w:rFonts w:ascii="Arial" w:hAnsi="Arial" w:cs="Arial"/>
                <w:sz w:val="20"/>
                <w:szCs w:val="20"/>
              </w:rPr>
              <w:t>907</w:t>
            </w:r>
          </w:p>
        </w:tc>
        <w:tc>
          <w:tcPr>
            <w:tcW w:w="1494" w:type="dxa"/>
            <w:tcBorders>
              <w:top w:val="nil"/>
              <w:left w:val="nil"/>
              <w:bottom w:val="single" w:sz="4" w:space="0" w:color="000000"/>
              <w:right w:val="single" w:sz="4" w:space="0" w:color="000000"/>
            </w:tcBorders>
            <w:shd w:val="clear" w:color="auto" w:fill="auto"/>
            <w:noWrap/>
            <w:vAlign w:val="center"/>
            <w:hideMark/>
          </w:tcPr>
          <w:p w:rsidR="003E1EFD" w:rsidRDefault="003E1EFD" w:rsidP="003E1EFD">
            <w:pPr>
              <w:jc w:val="center"/>
              <w:rPr>
                <w:rFonts w:ascii="Arial" w:hAnsi="Arial" w:cs="Arial"/>
                <w:sz w:val="20"/>
                <w:szCs w:val="20"/>
              </w:rPr>
            </w:pPr>
            <w:r>
              <w:rPr>
                <w:rFonts w:ascii="Arial" w:hAnsi="Arial" w:cs="Arial"/>
                <w:sz w:val="20"/>
                <w:szCs w:val="20"/>
              </w:rPr>
              <w:t>75.19%</w:t>
            </w:r>
          </w:p>
        </w:tc>
      </w:tr>
    </w:tbl>
    <w:p w:rsidR="00025DAE" w:rsidRPr="0018122A" w:rsidRDefault="00025DAE" w:rsidP="00DF4672">
      <w:pPr>
        <w:widowControl/>
        <w:jc w:val="center"/>
        <w:rPr>
          <w:rFonts w:ascii="宋体" w:hAnsi="宋体" w:cs="Arial"/>
          <w:bCs/>
          <w:color w:val="000000" w:themeColor="text1"/>
          <w:kern w:val="0"/>
          <w:sz w:val="22"/>
          <w:szCs w:val="22"/>
        </w:rPr>
      </w:pPr>
    </w:p>
    <w:p w:rsidR="00734FC3" w:rsidRPr="0018122A" w:rsidRDefault="00734FC3" w:rsidP="00800517">
      <w:pPr>
        <w:rPr>
          <w:rFonts w:ascii="宋体" w:hAnsi="宋体"/>
          <w:color w:val="000000" w:themeColor="text1"/>
          <w:sz w:val="28"/>
          <w:szCs w:val="28"/>
        </w:rPr>
      </w:pPr>
    </w:p>
    <w:p w:rsidR="00D51C32" w:rsidRPr="0018122A" w:rsidRDefault="00D51C32" w:rsidP="002F7E5C">
      <w:pPr>
        <w:ind w:hanging="142"/>
        <w:rPr>
          <w:rFonts w:ascii="宋体" w:hAnsi="宋体"/>
          <w:color w:val="000000" w:themeColor="text1"/>
          <w:sz w:val="28"/>
          <w:szCs w:val="28"/>
        </w:rPr>
      </w:pPr>
      <w:r w:rsidRPr="0018122A">
        <w:rPr>
          <w:rFonts w:ascii="宋体" w:hAnsi="宋体" w:hint="eastAsia"/>
          <w:noProof/>
          <w:color w:val="000000" w:themeColor="text1"/>
          <w:sz w:val="28"/>
          <w:szCs w:val="28"/>
        </w:rPr>
        <w:drawing>
          <wp:inline distT="0" distB="0" distL="0" distR="0">
            <wp:extent cx="6129221" cy="3898232"/>
            <wp:effectExtent l="19050" t="0" r="23929" b="7018"/>
            <wp:docPr id="15"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33134" w:rsidRPr="0018122A" w:rsidRDefault="00D33134">
      <w:pPr>
        <w:ind w:firstLine="555"/>
        <w:rPr>
          <w:rFonts w:ascii="宋体" w:hAnsi="宋体"/>
          <w:color w:val="000000" w:themeColor="text1"/>
          <w:sz w:val="28"/>
          <w:szCs w:val="28"/>
        </w:rPr>
      </w:pPr>
    </w:p>
    <w:p w:rsidR="00025DAE" w:rsidRPr="0018122A" w:rsidRDefault="00050986">
      <w:pPr>
        <w:ind w:firstLine="555"/>
        <w:rPr>
          <w:rFonts w:ascii="宋体" w:hAnsi="宋体"/>
          <w:color w:val="000000" w:themeColor="text1"/>
          <w:sz w:val="28"/>
          <w:szCs w:val="28"/>
        </w:rPr>
      </w:pPr>
      <w:r w:rsidRPr="0018122A">
        <w:rPr>
          <w:rFonts w:ascii="宋体" w:hAnsi="宋体" w:hint="eastAsia"/>
          <w:color w:val="000000" w:themeColor="text1"/>
          <w:sz w:val="28"/>
          <w:szCs w:val="28"/>
        </w:rPr>
        <w:t>和龙法院审结刑事案件</w:t>
      </w:r>
      <w:r w:rsidR="000507F9">
        <w:rPr>
          <w:rFonts w:ascii="宋体" w:hAnsi="宋体" w:hint="eastAsia"/>
          <w:color w:val="000000" w:themeColor="text1"/>
          <w:sz w:val="28"/>
          <w:szCs w:val="28"/>
        </w:rPr>
        <w:t>89</w:t>
      </w:r>
      <w:r w:rsidRPr="0018122A">
        <w:rPr>
          <w:rFonts w:ascii="宋体" w:hAnsi="宋体" w:hint="eastAsia"/>
          <w:color w:val="000000" w:themeColor="text1"/>
          <w:sz w:val="28"/>
          <w:szCs w:val="28"/>
        </w:rPr>
        <w:t>件，分为</w:t>
      </w:r>
      <w:r w:rsidR="000507F9">
        <w:rPr>
          <w:rFonts w:ascii="宋体" w:hAnsi="宋体" w:hint="eastAsia"/>
          <w:color w:val="000000" w:themeColor="text1"/>
          <w:sz w:val="28"/>
          <w:szCs w:val="28"/>
        </w:rPr>
        <w:t>6</w:t>
      </w:r>
      <w:r w:rsidRPr="0018122A">
        <w:rPr>
          <w:rFonts w:ascii="宋体" w:hAnsi="宋体" w:hint="eastAsia"/>
          <w:color w:val="000000" w:themeColor="text1"/>
          <w:sz w:val="28"/>
          <w:szCs w:val="28"/>
        </w:rPr>
        <w:t>个案由，审结刑事案件案由统计具体如下：</w:t>
      </w:r>
    </w:p>
    <w:p w:rsidR="00025DAE" w:rsidRPr="0018122A" w:rsidRDefault="00050986">
      <w:pPr>
        <w:spacing w:line="360" w:lineRule="auto"/>
        <w:jc w:val="center"/>
        <w:rPr>
          <w:rFonts w:ascii="宋体" w:hAnsi="宋体"/>
          <w:b/>
          <w:color w:val="000000" w:themeColor="text1"/>
          <w:sz w:val="28"/>
          <w:szCs w:val="28"/>
        </w:rPr>
      </w:pPr>
      <w:r w:rsidRPr="0018122A">
        <w:rPr>
          <w:rFonts w:ascii="宋体" w:hAnsi="宋体" w:hint="eastAsia"/>
          <w:b/>
          <w:color w:val="000000" w:themeColor="text1"/>
          <w:sz w:val="28"/>
          <w:szCs w:val="28"/>
        </w:rPr>
        <w:t xml:space="preserve">    </w:t>
      </w:r>
      <w:r w:rsidR="00D935EA">
        <w:rPr>
          <w:rFonts w:ascii="宋体" w:hAnsi="宋体" w:hint="eastAsia"/>
          <w:b/>
          <w:color w:val="000000" w:themeColor="text1"/>
          <w:sz w:val="28"/>
          <w:szCs w:val="28"/>
        </w:rPr>
        <w:t>2019年1-</w:t>
      </w:r>
      <w:r w:rsidR="000507F9">
        <w:rPr>
          <w:rFonts w:ascii="宋体" w:hAnsi="宋体" w:hint="eastAsia"/>
          <w:b/>
          <w:color w:val="000000" w:themeColor="text1"/>
          <w:sz w:val="28"/>
          <w:szCs w:val="28"/>
        </w:rPr>
        <w:t>9</w:t>
      </w:r>
      <w:r w:rsidR="00D935EA">
        <w:rPr>
          <w:rFonts w:ascii="宋体" w:hAnsi="宋体" w:hint="eastAsia"/>
          <w:b/>
          <w:color w:val="000000" w:themeColor="text1"/>
          <w:sz w:val="28"/>
          <w:szCs w:val="28"/>
        </w:rPr>
        <w:t>月</w:t>
      </w:r>
      <w:r w:rsidR="00AB37F1" w:rsidRPr="0018122A">
        <w:rPr>
          <w:rFonts w:ascii="宋体" w:hAnsi="宋体" w:hint="eastAsia"/>
          <w:b/>
          <w:color w:val="000000" w:themeColor="text1"/>
          <w:sz w:val="28"/>
          <w:szCs w:val="28"/>
        </w:rPr>
        <w:t>和龙</w:t>
      </w:r>
      <w:r w:rsidRPr="0018122A">
        <w:rPr>
          <w:rFonts w:ascii="宋体" w:hAnsi="宋体" w:hint="eastAsia"/>
          <w:b/>
          <w:color w:val="000000" w:themeColor="text1"/>
          <w:sz w:val="28"/>
          <w:szCs w:val="28"/>
        </w:rPr>
        <w:t>法院审结刑事案件案由统计表</w:t>
      </w:r>
    </w:p>
    <w:tbl>
      <w:tblPr>
        <w:tblW w:w="9266" w:type="dxa"/>
        <w:tblInd w:w="93" w:type="dxa"/>
        <w:tblLook w:val="04A0"/>
      </w:tblPr>
      <w:tblGrid>
        <w:gridCol w:w="662"/>
        <w:gridCol w:w="3882"/>
        <w:gridCol w:w="1677"/>
        <w:gridCol w:w="1368"/>
        <w:gridCol w:w="1677"/>
      </w:tblGrid>
      <w:tr w:rsidR="0016093B" w:rsidRPr="0018122A" w:rsidTr="00267E95">
        <w:trPr>
          <w:trHeight w:val="663"/>
        </w:trPr>
        <w:tc>
          <w:tcPr>
            <w:tcW w:w="66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6093B" w:rsidRPr="0018122A" w:rsidRDefault="0016093B" w:rsidP="00267E95">
            <w:pPr>
              <w:jc w:val="center"/>
              <w:rPr>
                <w:rFonts w:ascii="宋体" w:hAnsi="宋体" w:cs="Arial"/>
                <w:b/>
                <w:bCs/>
                <w:color w:val="000000" w:themeColor="text1"/>
                <w:sz w:val="22"/>
                <w:szCs w:val="22"/>
              </w:rPr>
            </w:pPr>
            <w:r w:rsidRPr="0018122A">
              <w:rPr>
                <w:rFonts w:ascii="宋体" w:hAnsi="宋体" w:cs="Arial" w:hint="eastAsia"/>
                <w:b/>
                <w:bCs/>
                <w:color w:val="000000" w:themeColor="text1"/>
                <w:sz w:val="22"/>
                <w:szCs w:val="22"/>
              </w:rPr>
              <w:t>序号</w:t>
            </w:r>
          </w:p>
        </w:tc>
        <w:tc>
          <w:tcPr>
            <w:tcW w:w="3882" w:type="dxa"/>
            <w:tcBorders>
              <w:top w:val="single" w:sz="4" w:space="0" w:color="000000"/>
              <w:left w:val="nil"/>
              <w:bottom w:val="single" w:sz="4" w:space="0" w:color="000000"/>
              <w:right w:val="single" w:sz="4" w:space="0" w:color="000000"/>
            </w:tcBorders>
            <w:shd w:val="clear" w:color="000000" w:fill="FFFFFF"/>
            <w:vAlign w:val="center"/>
            <w:hideMark/>
          </w:tcPr>
          <w:p w:rsidR="0016093B" w:rsidRPr="0018122A" w:rsidRDefault="0016093B" w:rsidP="00267E95">
            <w:pPr>
              <w:jc w:val="center"/>
              <w:rPr>
                <w:rFonts w:ascii="宋体" w:hAnsi="宋体" w:cs="Arial"/>
                <w:b/>
                <w:bCs/>
                <w:color w:val="000000" w:themeColor="text1"/>
                <w:sz w:val="22"/>
                <w:szCs w:val="22"/>
              </w:rPr>
            </w:pPr>
            <w:r w:rsidRPr="0018122A">
              <w:rPr>
                <w:rFonts w:ascii="宋体" w:hAnsi="宋体" w:cs="Arial" w:hint="eastAsia"/>
                <w:b/>
                <w:bCs/>
                <w:color w:val="000000" w:themeColor="text1"/>
                <w:sz w:val="22"/>
                <w:szCs w:val="22"/>
              </w:rPr>
              <w:t>案由</w:t>
            </w:r>
          </w:p>
        </w:tc>
        <w:tc>
          <w:tcPr>
            <w:tcW w:w="1677" w:type="dxa"/>
            <w:tcBorders>
              <w:top w:val="single" w:sz="4" w:space="0" w:color="000000"/>
              <w:left w:val="nil"/>
              <w:bottom w:val="single" w:sz="4" w:space="0" w:color="000000"/>
              <w:right w:val="single" w:sz="4" w:space="0" w:color="000000"/>
            </w:tcBorders>
            <w:shd w:val="clear" w:color="000000" w:fill="FFFFFF"/>
            <w:vAlign w:val="center"/>
            <w:hideMark/>
          </w:tcPr>
          <w:p w:rsidR="0016093B" w:rsidRPr="0018122A" w:rsidRDefault="0016093B" w:rsidP="00267E95">
            <w:pPr>
              <w:jc w:val="center"/>
              <w:rPr>
                <w:rFonts w:ascii="宋体" w:hAnsi="宋体" w:cs="Arial"/>
                <w:b/>
                <w:bCs/>
                <w:color w:val="000000" w:themeColor="text1"/>
                <w:sz w:val="22"/>
                <w:szCs w:val="22"/>
              </w:rPr>
            </w:pPr>
            <w:r w:rsidRPr="0018122A">
              <w:rPr>
                <w:rFonts w:ascii="宋体" w:hAnsi="宋体" w:cs="Arial" w:hint="eastAsia"/>
                <w:b/>
                <w:bCs/>
                <w:color w:val="000000" w:themeColor="text1"/>
                <w:sz w:val="22"/>
                <w:szCs w:val="22"/>
              </w:rPr>
              <w:t>已结案件</w:t>
            </w:r>
          </w:p>
        </w:tc>
        <w:tc>
          <w:tcPr>
            <w:tcW w:w="1368" w:type="dxa"/>
            <w:tcBorders>
              <w:top w:val="single" w:sz="4" w:space="0" w:color="000000"/>
              <w:left w:val="nil"/>
              <w:bottom w:val="single" w:sz="4" w:space="0" w:color="000000"/>
              <w:right w:val="single" w:sz="4" w:space="0" w:color="000000"/>
            </w:tcBorders>
            <w:shd w:val="clear" w:color="auto" w:fill="auto"/>
            <w:noWrap/>
            <w:vAlign w:val="center"/>
            <w:hideMark/>
          </w:tcPr>
          <w:p w:rsidR="0016093B" w:rsidRPr="0018122A" w:rsidRDefault="0016093B" w:rsidP="00267E95">
            <w:pPr>
              <w:jc w:val="center"/>
              <w:rPr>
                <w:rFonts w:ascii="宋体" w:hAnsi="宋体" w:cs="Arial"/>
                <w:b/>
                <w:bCs/>
                <w:color w:val="000000" w:themeColor="text1"/>
                <w:sz w:val="22"/>
                <w:szCs w:val="22"/>
              </w:rPr>
            </w:pPr>
            <w:r w:rsidRPr="0018122A">
              <w:rPr>
                <w:rFonts w:ascii="宋体" w:hAnsi="宋体" w:cs="Arial" w:hint="eastAsia"/>
                <w:b/>
                <w:bCs/>
                <w:color w:val="000000" w:themeColor="text1"/>
                <w:sz w:val="22"/>
                <w:szCs w:val="22"/>
              </w:rPr>
              <w:t>案件总计</w:t>
            </w:r>
          </w:p>
        </w:tc>
        <w:tc>
          <w:tcPr>
            <w:tcW w:w="1677" w:type="dxa"/>
            <w:tcBorders>
              <w:top w:val="single" w:sz="4" w:space="0" w:color="000000"/>
              <w:left w:val="nil"/>
              <w:bottom w:val="single" w:sz="4" w:space="0" w:color="000000"/>
              <w:right w:val="single" w:sz="4" w:space="0" w:color="000000"/>
            </w:tcBorders>
            <w:shd w:val="clear" w:color="auto" w:fill="auto"/>
            <w:noWrap/>
            <w:vAlign w:val="center"/>
            <w:hideMark/>
          </w:tcPr>
          <w:p w:rsidR="0016093B" w:rsidRPr="0018122A" w:rsidRDefault="0016093B" w:rsidP="00267E95">
            <w:pPr>
              <w:jc w:val="center"/>
              <w:rPr>
                <w:rFonts w:ascii="宋体" w:hAnsi="宋体" w:cs="Arial"/>
                <w:b/>
                <w:bCs/>
                <w:color w:val="000000" w:themeColor="text1"/>
                <w:sz w:val="22"/>
                <w:szCs w:val="22"/>
              </w:rPr>
            </w:pPr>
            <w:r w:rsidRPr="0018122A">
              <w:rPr>
                <w:rFonts w:ascii="宋体" w:hAnsi="宋体" w:cs="Arial" w:hint="eastAsia"/>
                <w:b/>
                <w:bCs/>
                <w:color w:val="000000" w:themeColor="text1"/>
                <w:sz w:val="22"/>
                <w:szCs w:val="22"/>
              </w:rPr>
              <w:t>占比</w:t>
            </w:r>
          </w:p>
        </w:tc>
      </w:tr>
      <w:tr w:rsidR="000507F9" w:rsidRPr="0018122A" w:rsidTr="002E2563">
        <w:trPr>
          <w:trHeight w:val="401"/>
        </w:trPr>
        <w:tc>
          <w:tcPr>
            <w:tcW w:w="662" w:type="dxa"/>
            <w:tcBorders>
              <w:top w:val="nil"/>
              <w:left w:val="single" w:sz="4" w:space="0" w:color="000000"/>
              <w:bottom w:val="single" w:sz="4" w:space="0" w:color="000000"/>
              <w:right w:val="single" w:sz="4" w:space="0" w:color="000000"/>
            </w:tcBorders>
            <w:shd w:val="clear" w:color="000000" w:fill="FFFFFF"/>
            <w:vAlign w:val="center"/>
            <w:hideMark/>
          </w:tcPr>
          <w:p w:rsidR="000507F9" w:rsidRDefault="000507F9" w:rsidP="000507F9">
            <w:pPr>
              <w:jc w:val="center"/>
              <w:rPr>
                <w:rFonts w:ascii="Arial" w:hAnsi="Arial" w:cs="Arial"/>
                <w:color w:val="000000"/>
                <w:sz w:val="20"/>
                <w:szCs w:val="20"/>
              </w:rPr>
            </w:pPr>
            <w:r>
              <w:rPr>
                <w:rFonts w:ascii="Arial" w:hAnsi="Arial" w:cs="Arial"/>
                <w:color w:val="000000"/>
                <w:sz w:val="20"/>
                <w:szCs w:val="20"/>
              </w:rPr>
              <w:t>1</w:t>
            </w:r>
          </w:p>
        </w:tc>
        <w:tc>
          <w:tcPr>
            <w:tcW w:w="3882" w:type="dxa"/>
            <w:tcBorders>
              <w:top w:val="nil"/>
              <w:left w:val="nil"/>
              <w:bottom w:val="single" w:sz="4" w:space="0" w:color="000000"/>
              <w:right w:val="single" w:sz="4" w:space="0" w:color="000000"/>
            </w:tcBorders>
            <w:shd w:val="clear" w:color="000000" w:fill="FFFFFF"/>
            <w:vAlign w:val="center"/>
            <w:hideMark/>
          </w:tcPr>
          <w:p w:rsidR="000507F9" w:rsidRDefault="000507F9" w:rsidP="000507F9">
            <w:pPr>
              <w:jc w:val="center"/>
              <w:rPr>
                <w:rFonts w:ascii="Arial" w:hAnsi="Arial" w:cs="Arial"/>
                <w:color w:val="000000"/>
                <w:sz w:val="20"/>
                <w:szCs w:val="20"/>
              </w:rPr>
            </w:pPr>
            <w:r>
              <w:rPr>
                <w:rFonts w:ascii="Arial" w:hAnsi="Arial" w:cs="Arial"/>
                <w:color w:val="000000"/>
                <w:sz w:val="20"/>
                <w:szCs w:val="20"/>
              </w:rPr>
              <w:t>危害公共安全罪</w:t>
            </w:r>
          </w:p>
        </w:tc>
        <w:tc>
          <w:tcPr>
            <w:tcW w:w="1677" w:type="dxa"/>
            <w:tcBorders>
              <w:top w:val="nil"/>
              <w:left w:val="nil"/>
              <w:bottom w:val="single" w:sz="4" w:space="0" w:color="000000"/>
              <w:right w:val="single" w:sz="4" w:space="0" w:color="000000"/>
            </w:tcBorders>
            <w:shd w:val="clear" w:color="000000" w:fill="FFFFFF"/>
            <w:vAlign w:val="center"/>
            <w:hideMark/>
          </w:tcPr>
          <w:p w:rsidR="000507F9" w:rsidRDefault="000507F9" w:rsidP="000507F9">
            <w:pPr>
              <w:jc w:val="center"/>
              <w:rPr>
                <w:rFonts w:ascii="Arial" w:hAnsi="Arial" w:cs="Arial"/>
                <w:color w:val="000000"/>
                <w:sz w:val="18"/>
                <w:szCs w:val="18"/>
              </w:rPr>
            </w:pPr>
            <w:r>
              <w:rPr>
                <w:rFonts w:ascii="Arial" w:hAnsi="Arial" w:cs="Arial"/>
                <w:color w:val="000000"/>
                <w:sz w:val="18"/>
                <w:szCs w:val="18"/>
              </w:rPr>
              <w:t>24</w:t>
            </w:r>
          </w:p>
        </w:tc>
        <w:tc>
          <w:tcPr>
            <w:tcW w:w="1368" w:type="dxa"/>
            <w:tcBorders>
              <w:top w:val="nil"/>
              <w:left w:val="nil"/>
              <w:bottom w:val="single" w:sz="4" w:space="0" w:color="000000"/>
              <w:right w:val="single" w:sz="4" w:space="0" w:color="000000"/>
            </w:tcBorders>
            <w:shd w:val="clear" w:color="auto" w:fill="auto"/>
            <w:noWrap/>
            <w:vAlign w:val="bottom"/>
            <w:hideMark/>
          </w:tcPr>
          <w:p w:rsidR="000507F9" w:rsidRDefault="000507F9" w:rsidP="000507F9">
            <w:pPr>
              <w:jc w:val="center"/>
              <w:rPr>
                <w:rFonts w:ascii="Arial" w:hAnsi="Arial" w:cs="Arial"/>
                <w:sz w:val="20"/>
                <w:szCs w:val="20"/>
              </w:rPr>
            </w:pPr>
            <w:r>
              <w:rPr>
                <w:rFonts w:ascii="Arial" w:hAnsi="Arial" w:cs="Arial"/>
                <w:sz w:val="20"/>
                <w:szCs w:val="20"/>
              </w:rPr>
              <w:t>89</w:t>
            </w:r>
          </w:p>
        </w:tc>
        <w:tc>
          <w:tcPr>
            <w:tcW w:w="1677" w:type="dxa"/>
            <w:tcBorders>
              <w:top w:val="nil"/>
              <w:left w:val="nil"/>
              <w:bottom w:val="single" w:sz="4" w:space="0" w:color="000000"/>
              <w:right w:val="single" w:sz="4" w:space="0" w:color="000000"/>
            </w:tcBorders>
            <w:shd w:val="clear" w:color="auto" w:fill="auto"/>
            <w:noWrap/>
            <w:vAlign w:val="bottom"/>
            <w:hideMark/>
          </w:tcPr>
          <w:p w:rsidR="000507F9" w:rsidRDefault="000507F9" w:rsidP="000507F9">
            <w:pPr>
              <w:jc w:val="center"/>
              <w:rPr>
                <w:rFonts w:ascii="Arial" w:hAnsi="Arial" w:cs="Arial"/>
                <w:sz w:val="20"/>
                <w:szCs w:val="20"/>
              </w:rPr>
            </w:pPr>
            <w:r>
              <w:rPr>
                <w:rFonts w:ascii="Arial" w:hAnsi="Arial" w:cs="Arial"/>
                <w:sz w:val="20"/>
                <w:szCs w:val="20"/>
              </w:rPr>
              <w:t>26.97%</w:t>
            </w:r>
          </w:p>
        </w:tc>
      </w:tr>
      <w:tr w:rsidR="000507F9" w:rsidRPr="0018122A" w:rsidTr="002E2563">
        <w:trPr>
          <w:trHeight w:val="401"/>
        </w:trPr>
        <w:tc>
          <w:tcPr>
            <w:tcW w:w="662" w:type="dxa"/>
            <w:tcBorders>
              <w:top w:val="nil"/>
              <w:left w:val="single" w:sz="4" w:space="0" w:color="000000"/>
              <w:bottom w:val="single" w:sz="4" w:space="0" w:color="000000"/>
              <w:right w:val="single" w:sz="4" w:space="0" w:color="000000"/>
            </w:tcBorders>
            <w:shd w:val="clear" w:color="000000" w:fill="FFFFFF"/>
            <w:vAlign w:val="center"/>
            <w:hideMark/>
          </w:tcPr>
          <w:p w:rsidR="000507F9" w:rsidRDefault="000507F9" w:rsidP="000507F9">
            <w:pPr>
              <w:jc w:val="center"/>
              <w:rPr>
                <w:rFonts w:ascii="Arial" w:hAnsi="Arial" w:cs="Arial"/>
                <w:color w:val="000000"/>
                <w:sz w:val="20"/>
                <w:szCs w:val="20"/>
              </w:rPr>
            </w:pPr>
            <w:r>
              <w:rPr>
                <w:rFonts w:ascii="Arial" w:hAnsi="Arial" w:cs="Arial"/>
                <w:color w:val="000000"/>
                <w:sz w:val="20"/>
                <w:szCs w:val="20"/>
              </w:rPr>
              <w:t>2</w:t>
            </w:r>
          </w:p>
        </w:tc>
        <w:tc>
          <w:tcPr>
            <w:tcW w:w="3882" w:type="dxa"/>
            <w:tcBorders>
              <w:top w:val="nil"/>
              <w:left w:val="nil"/>
              <w:bottom w:val="single" w:sz="4" w:space="0" w:color="000000"/>
              <w:right w:val="single" w:sz="4" w:space="0" w:color="000000"/>
            </w:tcBorders>
            <w:shd w:val="clear" w:color="000000" w:fill="FFFFFF"/>
            <w:vAlign w:val="center"/>
            <w:hideMark/>
          </w:tcPr>
          <w:p w:rsidR="000507F9" w:rsidRDefault="000507F9" w:rsidP="000507F9">
            <w:pPr>
              <w:jc w:val="center"/>
              <w:rPr>
                <w:rFonts w:ascii="Arial" w:hAnsi="Arial" w:cs="Arial"/>
                <w:color w:val="000000"/>
                <w:sz w:val="20"/>
                <w:szCs w:val="20"/>
              </w:rPr>
            </w:pPr>
            <w:r>
              <w:rPr>
                <w:rFonts w:ascii="Arial" w:hAnsi="Arial" w:cs="Arial"/>
                <w:color w:val="000000"/>
                <w:sz w:val="20"/>
                <w:szCs w:val="20"/>
              </w:rPr>
              <w:t>贪污贿赂罪</w:t>
            </w:r>
          </w:p>
        </w:tc>
        <w:tc>
          <w:tcPr>
            <w:tcW w:w="1677" w:type="dxa"/>
            <w:tcBorders>
              <w:top w:val="nil"/>
              <w:left w:val="nil"/>
              <w:bottom w:val="single" w:sz="4" w:space="0" w:color="000000"/>
              <w:right w:val="single" w:sz="4" w:space="0" w:color="000000"/>
            </w:tcBorders>
            <w:shd w:val="clear" w:color="000000" w:fill="FFFFFF"/>
            <w:vAlign w:val="center"/>
            <w:hideMark/>
          </w:tcPr>
          <w:p w:rsidR="000507F9" w:rsidRDefault="000507F9" w:rsidP="000507F9">
            <w:pPr>
              <w:jc w:val="center"/>
              <w:rPr>
                <w:rFonts w:ascii="Arial" w:hAnsi="Arial" w:cs="Arial"/>
                <w:color w:val="000000"/>
                <w:sz w:val="18"/>
                <w:szCs w:val="18"/>
              </w:rPr>
            </w:pPr>
            <w:r>
              <w:rPr>
                <w:rFonts w:ascii="Arial" w:hAnsi="Arial" w:cs="Arial"/>
                <w:color w:val="000000"/>
                <w:sz w:val="18"/>
                <w:szCs w:val="18"/>
              </w:rPr>
              <w:t>1</w:t>
            </w:r>
          </w:p>
        </w:tc>
        <w:tc>
          <w:tcPr>
            <w:tcW w:w="1368" w:type="dxa"/>
            <w:tcBorders>
              <w:top w:val="nil"/>
              <w:left w:val="nil"/>
              <w:bottom w:val="single" w:sz="4" w:space="0" w:color="000000"/>
              <w:right w:val="single" w:sz="4" w:space="0" w:color="000000"/>
            </w:tcBorders>
            <w:shd w:val="clear" w:color="auto" w:fill="auto"/>
            <w:noWrap/>
            <w:vAlign w:val="bottom"/>
            <w:hideMark/>
          </w:tcPr>
          <w:p w:rsidR="000507F9" w:rsidRDefault="000507F9" w:rsidP="000507F9">
            <w:pPr>
              <w:jc w:val="center"/>
              <w:rPr>
                <w:rFonts w:ascii="Arial" w:hAnsi="Arial" w:cs="Arial"/>
                <w:sz w:val="20"/>
                <w:szCs w:val="20"/>
              </w:rPr>
            </w:pPr>
            <w:r>
              <w:rPr>
                <w:rFonts w:ascii="Arial" w:hAnsi="Arial" w:cs="Arial"/>
                <w:sz w:val="20"/>
                <w:szCs w:val="20"/>
              </w:rPr>
              <w:t>89</w:t>
            </w:r>
          </w:p>
        </w:tc>
        <w:tc>
          <w:tcPr>
            <w:tcW w:w="1677" w:type="dxa"/>
            <w:tcBorders>
              <w:top w:val="nil"/>
              <w:left w:val="nil"/>
              <w:bottom w:val="single" w:sz="4" w:space="0" w:color="000000"/>
              <w:right w:val="single" w:sz="4" w:space="0" w:color="000000"/>
            </w:tcBorders>
            <w:shd w:val="clear" w:color="auto" w:fill="auto"/>
            <w:noWrap/>
            <w:vAlign w:val="bottom"/>
            <w:hideMark/>
          </w:tcPr>
          <w:p w:rsidR="000507F9" w:rsidRDefault="000507F9" w:rsidP="000507F9">
            <w:pPr>
              <w:jc w:val="center"/>
              <w:rPr>
                <w:rFonts w:ascii="Arial" w:hAnsi="Arial" w:cs="Arial"/>
                <w:sz w:val="20"/>
                <w:szCs w:val="20"/>
              </w:rPr>
            </w:pPr>
            <w:r>
              <w:rPr>
                <w:rFonts w:ascii="Arial" w:hAnsi="Arial" w:cs="Arial"/>
                <w:sz w:val="20"/>
                <w:szCs w:val="20"/>
              </w:rPr>
              <w:t>1.12%</w:t>
            </w:r>
          </w:p>
        </w:tc>
      </w:tr>
      <w:tr w:rsidR="000507F9" w:rsidRPr="0018122A" w:rsidTr="002E2563">
        <w:trPr>
          <w:trHeight w:val="401"/>
        </w:trPr>
        <w:tc>
          <w:tcPr>
            <w:tcW w:w="662" w:type="dxa"/>
            <w:tcBorders>
              <w:top w:val="nil"/>
              <w:left w:val="single" w:sz="4" w:space="0" w:color="000000"/>
              <w:bottom w:val="single" w:sz="4" w:space="0" w:color="000000"/>
              <w:right w:val="single" w:sz="4" w:space="0" w:color="000000"/>
            </w:tcBorders>
            <w:shd w:val="clear" w:color="000000" w:fill="FFFFFF"/>
            <w:vAlign w:val="center"/>
            <w:hideMark/>
          </w:tcPr>
          <w:p w:rsidR="000507F9" w:rsidRDefault="000507F9" w:rsidP="000507F9">
            <w:pPr>
              <w:jc w:val="center"/>
              <w:rPr>
                <w:rFonts w:ascii="Arial" w:hAnsi="Arial" w:cs="Arial"/>
                <w:color w:val="000000"/>
                <w:sz w:val="20"/>
                <w:szCs w:val="20"/>
              </w:rPr>
            </w:pPr>
            <w:r>
              <w:rPr>
                <w:rFonts w:ascii="Arial" w:hAnsi="Arial" w:cs="Arial"/>
                <w:color w:val="000000"/>
                <w:sz w:val="20"/>
                <w:szCs w:val="20"/>
              </w:rPr>
              <w:t>3</w:t>
            </w:r>
          </w:p>
        </w:tc>
        <w:tc>
          <w:tcPr>
            <w:tcW w:w="3882" w:type="dxa"/>
            <w:tcBorders>
              <w:top w:val="nil"/>
              <w:left w:val="nil"/>
              <w:bottom w:val="single" w:sz="4" w:space="0" w:color="000000"/>
              <w:right w:val="single" w:sz="4" w:space="0" w:color="000000"/>
            </w:tcBorders>
            <w:shd w:val="clear" w:color="000000" w:fill="FFFFFF"/>
            <w:vAlign w:val="center"/>
            <w:hideMark/>
          </w:tcPr>
          <w:p w:rsidR="000507F9" w:rsidRDefault="000507F9" w:rsidP="000507F9">
            <w:pPr>
              <w:jc w:val="center"/>
              <w:rPr>
                <w:rFonts w:ascii="Arial" w:hAnsi="Arial" w:cs="Arial"/>
                <w:color w:val="000000"/>
                <w:sz w:val="20"/>
                <w:szCs w:val="20"/>
              </w:rPr>
            </w:pPr>
            <w:r>
              <w:rPr>
                <w:rFonts w:ascii="Arial" w:hAnsi="Arial" w:cs="Arial"/>
                <w:color w:val="000000"/>
                <w:sz w:val="20"/>
                <w:szCs w:val="20"/>
              </w:rPr>
              <w:t>侵犯公民人身权利、民主权利罪</w:t>
            </w:r>
          </w:p>
        </w:tc>
        <w:tc>
          <w:tcPr>
            <w:tcW w:w="1677" w:type="dxa"/>
            <w:tcBorders>
              <w:top w:val="nil"/>
              <w:left w:val="nil"/>
              <w:bottom w:val="single" w:sz="4" w:space="0" w:color="000000"/>
              <w:right w:val="single" w:sz="4" w:space="0" w:color="000000"/>
            </w:tcBorders>
            <w:shd w:val="clear" w:color="000000" w:fill="FFFFFF"/>
            <w:vAlign w:val="center"/>
            <w:hideMark/>
          </w:tcPr>
          <w:p w:rsidR="000507F9" w:rsidRDefault="000507F9" w:rsidP="000507F9">
            <w:pPr>
              <w:jc w:val="center"/>
              <w:rPr>
                <w:rFonts w:ascii="Arial" w:hAnsi="Arial" w:cs="Arial"/>
                <w:color w:val="000000"/>
                <w:sz w:val="18"/>
                <w:szCs w:val="18"/>
              </w:rPr>
            </w:pPr>
            <w:r>
              <w:rPr>
                <w:rFonts w:ascii="Arial" w:hAnsi="Arial" w:cs="Arial"/>
                <w:color w:val="000000"/>
                <w:sz w:val="18"/>
                <w:szCs w:val="18"/>
              </w:rPr>
              <w:t>10</w:t>
            </w:r>
          </w:p>
        </w:tc>
        <w:tc>
          <w:tcPr>
            <w:tcW w:w="1368" w:type="dxa"/>
            <w:tcBorders>
              <w:top w:val="nil"/>
              <w:left w:val="nil"/>
              <w:bottom w:val="single" w:sz="4" w:space="0" w:color="000000"/>
              <w:right w:val="single" w:sz="4" w:space="0" w:color="000000"/>
            </w:tcBorders>
            <w:shd w:val="clear" w:color="auto" w:fill="auto"/>
            <w:noWrap/>
            <w:vAlign w:val="bottom"/>
            <w:hideMark/>
          </w:tcPr>
          <w:p w:rsidR="000507F9" w:rsidRDefault="000507F9" w:rsidP="000507F9">
            <w:pPr>
              <w:jc w:val="center"/>
              <w:rPr>
                <w:rFonts w:ascii="Arial" w:hAnsi="Arial" w:cs="Arial"/>
                <w:sz w:val="20"/>
                <w:szCs w:val="20"/>
              </w:rPr>
            </w:pPr>
            <w:r>
              <w:rPr>
                <w:rFonts w:ascii="Arial" w:hAnsi="Arial" w:cs="Arial"/>
                <w:sz w:val="20"/>
                <w:szCs w:val="20"/>
              </w:rPr>
              <w:t>89</w:t>
            </w:r>
          </w:p>
        </w:tc>
        <w:tc>
          <w:tcPr>
            <w:tcW w:w="1677" w:type="dxa"/>
            <w:tcBorders>
              <w:top w:val="nil"/>
              <w:left w:val="nil"/>
              <w:bottom w:val="single" w:sz="4" w:space="0" w:color="000000"/>
              <w:right w:val="single" w:sz="4" w:space="0" w:color="000000"/>
            </w:tcBorders>
            <w:shd w:val="clear" w:color="auto" w:fill="auto"/>
            <w:noWrap/>
            <w:vAlign w:val="bottom"/>
            <w:hideMark/>
          </w:tcPr>
          <w:p w:rsidR="000507F9" w:rsidRDefault="000507F9" w:rsidP="000507F9">
            <w:pPr>
              <w:jc w:val="center"/>
              <w:rPr>
                <w:rFonts w:ascii="Arial" w:hAnsi="Arial" w:cs="Arial"/>
                <w:sz w:val="20"/>
                <w:szCs w:val="20"/>
              </w:rPr>
            </w:pPr>
            <w:r>
              <w:rPr>
                <w:rFonts w:ascii="Arial" w:hAnsi="Arial" w:cs="Arial"/>
                <w:sz w:val="20"/>
                <w:szCs w:val="20"/>
              </w:rPr>
              <w:t>11.24%</w:t>
            </w:r>
          </w:p>
        </w:tc>
      </w:tr>
      <w:tr w:rsidR="000507F9" w:rsidRPr="0018122A" w:rsidTr="002E2563">
        <w:trPr>
          <w:trHeight w:val="401"/>
        </w:trPr>
        <w:tc>
          <w:tcPr>
            <w:tcW w:w="662" w:type="dxa"/>
            <w:tcBorders>
              <w:top w:val="nil"/>
              <w:left w:val="single" w:sz="4" w:space="0" w:color="000000"/>
              <w:bottom w:val="single" w:sz="4" w:space="0" w:color="000000"/>
              <w:right w:val="single" w:sz="4" w:space="0" w:color="000000"/>
            </w:tcBorders>
            <w:shd w:val="clear" w:color="000000" w:fill="FFFFFF"/>
            <w:vAlign w:val="center"/>
            <w:hideMark/>
          </w:tcPr>
          <w:p w:rsidR="000507F9" w:rsidRDefault="000507F9" w:rsidP="000507F9">
            <w:pPr>
              <w:jc w:val="center"/>
              <w:rPr>
                <w:rFonts w:ascii="Arial" w:hAnsi="Arial" w:cs="Arial"/>
                <w:color w:val="000000"/>
                <w:sz w:val="20"/>
                <w:szCs w:val="20"/>
              </w:rPr>
            </w:pPr>
            <w:r>
              <w:rPr>
                <w:rFonts w:ascii="Arial" w:hAnsi="Arial" w:cs="Arial"/>
                <w:color w:val="000000"/>
                <w:sz w:val="20"/>
                <w:szCs w:val="20"/>
              </w:rPr>
              <w:t>4</w:t>
            </w:r>
          </w:p>
        </w:tc>
        <w:tc>
          <w:tcPr>
            <w:tcW w:w="3882" w:type="dxa"/>
            <w:tcBorders>
              <w:top w:val="nil"/>
              <w:left w:val="nil"/>
              <w:bottom w:val="single" w:sz="4" w:space="0" w:color="000000"/>
              <w:right w:val="single" w:sz="4" w:space="0" w:color="000000"/>
            </w:tcBorders>
            <w:shd w:val="clear" w:color="000000" w:fill="FFFFFF"/>
            <w:vAlign w:val="center"/>
            <w:hideMark/>
          </w:tcPr>
          <w:p w:rsidR="000507F9" w:rsidRDefault="000507F9" w:rsidP="000507F9">
            <w:pPr>
              <w:jc w:val="center"/>
              <w:rPr>
                <w:rFonts w:ascii="Arial" w:hAnsi="Arial" w:cs="Arial"/>
                <w:color w:val="000000"/>
                <w:sz w:val="20"/>
                <w:szCs w:val="20"/>
              </w:rPr>
            </w:pPr>
            <w:r>
              <w:rPr>
                <w:rFonts w:ascii="Arial" w:hAnsi="Arial" w:cs="Arial"/>
                <w:color w:val="000000"/>
                <w:sz w:val="20"/>
                <w:szCs w:val="20"/>
              </w:rPr>
              <w:t>妨害社会管理秩序罪</w:t>
            </w:r>
          </w:p>
        </w:tc>
        <w:tc>
          <w:tcPr>
            <w:tcW w:w="1677" w:type="dxa"/>
            <w:tcBorders>
              <w:top w:val="nil"/>
              <w:left w:val="nil"/>
              <w:bottom w:val="single" w:sz="4" w:space="0" w:color="000000"/>
              <w:right w:val="single" w:sz="4" w:space="0" w:color="000000"/>
            </w:tcBorders>
            <w:shd w:val="clear" w:color="000000" w:fill="FFFFFF"/>
            <w:vAlign w:val="center"/>
            <w:hideMark/>
          </w:tcPr>
          <w:p w:rsidR="000507F9" w:rsidRDefault="000507F9" w:rsidP="000507F9">
            <w:pPr>
              <w:jc w:val="center"/>
              <w:rPr>
                <w:rFonts w:ascii="Arial" w:hAnsi="Arial" w:cs="Arial"/>
                <w:color w:val="000000"/>
                <w:sz w:val="18"/>
                <w:szCs w:val="18"/>
              </w:rPr>
            </w:pPr>
            <w:r>
              <w:rPr>
                <w:rFonts w:ascii="Arial" w:hAnsi="Arial" w:cs="Arial"/>
                <w:color w:val="000000"/>
                <w:sz w:val="18"/>
                <w:szCs w:val="18"/>
              </w:rPr>
              <w:t>29</w:t>
            </w:r>
          </w:p>
        </w:tc>
        <w:tc>
          <w:tcPr>
            <w:tcW w:w="1368" w:type="dxa"/>
            <w:tcBorders>
              <w:top w:val="nil"/>
              <w:left w:val="nil"/>
              <w:bottom w:val="single" w:sz="4" w:space="0" w:color="000000"/>
              <w:right w:val="single" w:sz="4" w:space="0" w:color="000000"/>
            </w:tcBorders>
            <w:shd w:val="clear" w:color="auto" w:fill="auto"/>
            <w:noWrap/>
            <w:vAlign w:val="bottom"/>
            <w:hideMark/>
          </w:tcPr>
          <w:p w:rsidR="000507F9" w:rsidRDefault="000507F9" w:rsidP="000507F9">
            <w:pPr>
              <w:jc w:val="center"/>
              <w:rPr>
                <w:rFonts w:ascii="Arial" w:hAnsi="Arial" w:cs="Arial"/>
                <w:sz w:val="20"/>
                <w:szCs w:val="20"/>
              </w:rPr>
            </w:pPr>
            <w:r>
              <w:rPr>
                <w:rFonts w:ascii="Arial" w:hAnsi="Arial" w:cs="Arial"/>
                <w:sz w:val="20"/>
                <w:szCs w:val="20"/>
              </w:rPr>
              <w:t>89</w:t>
            </w:r>
          </w:p>
        </w:tc>
        <w:tc>
          <w:tcPr>
            <w:tcW w:w="1677" w:type="dxa"/>
            <w:tcBorders>
              <w:top w:val="nil"/>
              <w:left w:val="nil"/>
              <w:bottom w:val="single" w:sz="4" w:space="0" w:color="000000"/>
              <w:right w:val="single" w:sz="4" w:space="0" w:color="000000"/>
            </w:tcBorders>
            <w:shd w:val="clear" w:color="auto" w:fill="auto"/>
            <w:noWrap/>
            <w:vAlign w:val="bottom"/>
            <w:hideMark/>
          </w:tcPr>
          <w:p w:rsidR="000507F9" w:rsidRDefault="000507F9" w:rsidP="000507F9">
            <w:pPr>
              <w:jc w:val="center"/>
              <w:rPr>
                <w:rFonts w:ascii="Arial" w:hAnsi="Arial" w:cs="Arial"/>
                <w:sz w:val="20"/>
                <w:szCs w:val="20"/>
              </w:rPr>
            </w:pPr>
            <w:r>
              <w:rPr>
                <w:rFonts w:ascii="Arial" w:hAnsi="Arial" w:cs="Arial"/>
                <w:sz w:val="20"/>
                <w:szCs w:val="20"/>
              </w:rPr>
              <w:t>32.58%</w:t>
            </w:r>
          </w:p>
        </w:tc>
      </w:tr>
      <w:tr w:rsidR="000507F9" w:rsidRPr="0018122A" w:rsidTr="002E2563">
        <w:trPr>
          <w:trHeight w:val="401"/>
        </w:trPr>
        <w:tc>
          <w:tcPr>
            <w:tcW w:w="662" w:type="dxa"/>
            <w:tcBorders>
              <w:top w:val="nil"/>
              <w:left w:val="single" w:sz="4" w:space="0" w:color="000000"/>
              <w:bottom w:val="single" w:sz="4" w:space="0" w:color="000000"/>
              <w:right w:val="single" w:sz="4" w:space="0" w:color="000000"/>
            </w:tcBorders>
            <w:shd w:val="clear" w:color="000000" w:fill="FFFFFF"/>
            <w:vAlign w:val="center"/>
            <w:hideMark/>
          </w:tcPr>
          <w:p w:rsidR="000507F9" w:rsidRDefault="000507F9" w:rsidP="000507F9">
            <w:pPr>
              <w:jc w:val="center"/>
              <w:rPr>
                <w:rFonts w:ascii="Arial" w:hAnsi="Arial" w:cs="Arial"/>
                <w:color w:val="000000"/>
                <w:sz w:val="20"/>
                <w:szCs w:val="20"/>
              </w:rPr>
            </w:pPr>
            <w:r>
              <w:rPr>
                <w:rFonts w:ascii="Arial" w:hAnsi="Arial" w:cs="Arial"/>
                <w:color w:val="000000"/>
                <w:sz w:val="20"/>
                <w:szCs w:val="20"/>
              </w:rPr>
              <w:t>5</w:t>
            </w:r>
          </w:p>
        </w:tc>
        <w:tc>
          <w:tcPr>
            <w:tcW w:w="3882" w:type="dxa"/>
            <w:tcBorders>
              <w:top w:val="nil"/>
              <w:left w:val="nil"/>
              <w:bottom w:val="single" w:sz="4" w:space="0" w:color="000000"/>
              <w:right w:val="single" w:sz="4" w:space="0" w:color="000000"/>
            </w:tcBorders>
            <w:shd w:val="clear" w:color="000000" w:fill="FFFFFF"/>
            <w:vAlign w:val="center"/>
            <w:hideMark/>
          </w:tcPr>
          <w:p w:rsidR="000507F9" w:rsidRDefault="000507F9" w:rsidP="000507F9">
            <w:pPr>
              <w:jc w:val="center"/>
              <w:rPr>
                <w:rFonts w:ascii="Arial" w:hAnsi="Arial" w:cs="Arial"/>
                <w:color w:val="000000"/>
                <w:sz w:val="20"/>
                <w:szCs w:val="20"/>
              </w:rPr>
            </w:pPr>
            <w:r>
              <w:rPr>
                <w:rFonts w:ascii="Arial" w:hAnsi="Arial" w:cs="Arial"/>
                <w:color w:val="000000"/>
                <w:sz w:val="20"/>
                <w:szCs w:val="20"/>
              </w:rPr>
              <w:t>侵犯财产罪</w:t>
            </w:r>
          </w:p>
        </w:tc>
        <w:tc>
          <w:tcPr>
            <w:tcW w:w="1677" w:type="dxa"/>
            <w:tcBorders>
              <w:top w:val="nil"/>
              <w:left w:val="nil"/>
              <w:bottom w:val="single" w:sz="4" w:space="0" w:color="000000"/>
              <w:right w:val="single" w:sz="4" w:space="0" w:color="000000"/>
            </w:tcBorders>
            <w:shd w:val="clear" w:color="000000" w:fill="FFFFFF"/>
            <w:vAlign w:val="center"/>
            <w:hideMark/>
          </w:tcPr>
          <w:p w:rsidR="000507F9" w:rsidRDefault="000507F9" w:rsidP="000507F9">
            <w:pPr>
              <w:jc w:val="center"/>
              <w:rPr>
                <w:rFonts w:ascii="Arial" w:hAnsi="Arial" w:cs="Arial"/>
                <w:color w:val="000000"/>
                <w:sz w:val="18"/>
                <w:szCs w:val="18"/>
              </w:rPr>
            </w:pPr>
            <w:r>
              <w:rPr>
                <w:rFonts w:ascii="Arial" w:hAnsi="Arial" w:cs="Arial"/>
                <w:color w:val="000000"/>
                <w:sz w:val="18"/>
                <w:szCs w:val="18"/>
              </w:rPr>
              <w:t>19</w:t>
            </w:r>
          </w:p>
        </w:tc>
        <w:tc>
          <w:tcPr>
            <w:tcW w:w="1368" w:type="dxa"/>
            <w:tcBorders>
              <w:top w:val="nil"/>
              <w:left w:val="nil"/>
              <w:bottom w:val="single" w:sz="4" w:space="0" w:color="000000"/>
              <w:right w:val="single" w:sz="4" w:space="0" w:color="000000"/>
            </w:tcBorders>
            <w:shd w:val="clear" w:color="auto" w:fill="auto"/>
            <w:noWrap/>
            <w:vAlign w:val="bottom"/>
            <w:hideMark/>
          </w:tcPr>
          <w:p w:rsidR="000507F9" w:rsidRDefault="000507F9" w:rsidP="000507F9">
            <w:pPr>
              <w:jc w:val="center"/>
              <w:rPr>
                <w:rFonts w:ascii="Arial" w:hAnsi="Arial" w:cs="Arial"/>
                <w:sz w:val="20"/>
                <w:szCs w:val="20"/>
              </w:rPr>
            </w:pPr>
            <w:r>
              <w:rPr>
                <w:rFonts w:ascii="Arial" w:hAnsi="Arial" w:cs="Arial"/>
                <w:sz w:val="20"/>
                <w:szCs w:val="20"/>
              </w:rPr>
              <w:t>89</w:t>
            </w:r>
          </w:p>
        </w:tc>
        <w:tc>
          <w:tcPr>
            <w:tcW w:w="1677" w:type="dxa"/>
            <w:tcBorders>
              <w:top w:val="nil"/>
              <w:left w:val="nil"/>
              <w:bottom w:val="single" w:sz="4" w:space="0" w:color="000000"/>
              <w:right w:val="single" w:sz="4" w:space="0" w:color="000000"/>
            </w:tcBorders>
            <w:shd w:val="clear" w:color="auto" w:fill="auto"/>
            <w:noWrap/>
            <w:vAlign w:val="bottom"/>
            <w:hideMark/>
          </w:tcPr>
          <w:p w:rsidR="000507F9" w:rsidRDefault="000507F9" w:rsidP="000507F9">
            <w:pPr>
              <w:jc w:val="center"/>
              <w:rPr>
                <w:rFonts w:ascii="Arial" w:hAnsi="Arial" w:cs="Arial"/>
                <w:sz w:val="20"/>
                <w:szCs w:val="20"/>
              </w:rPr>
            </w:pPr>
            <w:r>
              <w:rPr>
                <w:rFonts w:ascii="Arial" w:hAnsi="Arial" w:cs="Arial"/>
                <w:sz w:val="20"/>
                <w:szCs w:val="20"/>
              </w:rPr>
              <w:t>21.35%</w:t>
            </w:r>
          </w:p>
        </w:tc>
      </w:tr>
      <w:tr w:rsidR="000507F9" w:rsidRPr="0018122A" w:rsidTr="002E2563">
        <w:trPr>
          <w:trHeight w:val="401"/>
        </w:trPr>
        <w:tc>
          <w:tcPr>
            <w:tcW w:w="662" w:type="dxa"/>
            <w:tcBorders>
              <w:top w:val="nil"/>
              <w:left w:val="single" w:sz="4" w:space="0" w:color="000000"/>
              <w:bottom w:val="single" w:sz="4" w:space="0" w:color="000000"/>
              <w:right w:val="single" w:sz="4" w:space="0" w:color="000000"/>
            </w:tcBorders>
            <w:shd w:val="clear" w:color="000000" w:fill="FFFFFF"/>
            <w:vAlign w:val="center"/>
            <w:hideMark/>
          </w:tcPr>
          <w:p w:rsidR="000507F9" w:rsidRDefault="000507F9" w:rsidP="000507F9">
            <w:pPr>
              <w:jc w:val="center"/>
              <w:rPr>
                <w:rFonts w:ascii="Arial" w:hAnsi="Arial" w:cs="Arial"/>
                <w:color w:val="000000"/>
                <w:sz w:val="20"/>
                <w:szCs w:val="20"/>
              </w:rPr>
            </w:pPr>
            <w:r>
              <w:rPr>
                <w:rFonts w:ascii="Arial" w:hAnsi="Arial" w:cs="Arial"/>
                <w:color w:val="000000"/>
                <w:sz w:val="20"/>
                <w:szCs w:val="20"/>
              </w:rPr>
              <w:t>6</w:t>
            </w:r>
          </w:p>
        </w:tc>
        <w:tc>
          <w:tcPr>
            <w:tcW w:w="3882" w:type="dxa"/>
            <w:tcBorders>
              <w:top w:val="nil"/>
              <w:left w:val="nil"/>
              <w:bottom w:val="single" w:sz="4" w:space="0" w:color="000000"/>
              <w:right w:val="single" w:sz="4" w:space="0" w:color="000000"/>
            </w:tcBorders>
            <w:shd w:val="clear" w:color="000000" w:fill="FFFFFF"/>
            <w:vAlign w:val="center"/>
            <w:hideMark/>
          </w:tcPr>
          <w:p w:rsidR="000507F9" w:rsidRDefault="000507F9" w:rsidP="000507F9">
            <w:pPr>
              <w:jc w:val="center"/>
              <w:rPr>
                <w:rFonts w:ascii="Arial" w:hAnsi="Arial" w:cs="Arial"/>
                <w:color w:val="000000"/>
                <w:sz w:val="20"/>
                <w:szCs w:val="20"/>
              </w:rPr>
            </w:pPr>
            <w:r>
              <w:rPr>
                <w:rFonts w:ascii="Arial" w:hAnsi="Arial" w:cs="Arial"/>
                <w:color w:val="000000"/>
                <w:sz w:val="20"/>
                <w:szCs w:val="20"/>
              </w:rPr>
              <w:t>破坏社会主义市场经济秩序罪</w:t>
            </w:r>
          </w:p>
        </w:tc>
        <w:tc>
          <w:tcPr>
            <w:tcW w:w="1677" w:type="dxa"/>
            <w:tcBorders>
              <w:top w:val="nil"/>
              <w:left w:val="nil"/>
              <w:bottom w:val="single" w:sz="4" w:space="0" w:color="000000"/>
              <w:right w:val="single" w:sz="4" w:space="0" w:color="000000"/>
            </w:tcBorders>
            <w:shd w:val="clear" w:color="000000" w:fill="FFFFFF"/>
            <w:vAlign w:val="center"/>
            <w:hideMark/>
          </w:tcPr>
          <w:p w:rsidR="000507F9" w:rsidRDefault="000507F9" w:rsidP="000507F9">
            <w:pPr>
              <w:jc w:val="center"/>
              <w:rPr>
                <w:rFonts w:ascii="Arial" w:hAnsi="Arial" w:cs="Arial"/>
                <w:color w:val="000000"/>
                <w:sz w:val="18"/>
                <w:szCs w:val="18"/>
              </w:rPr>
            </w:pPr>
            <w:r>
              <w:rPr>
                <w:rFonts w:ascii="Arial" w:hAnsi="Arial" w:cs="Arial"/>
                <w:color w:val="000000"/>
                <w:sz w:val="18"/>
                <w:szCs w:val="18"/>
              </w:rPr>
              <w:t>6</w:t>
            </w:r>
          </w:p>
        </w:tc>
        <w:tc>
          <w:tcPr>
            <w:tcW w:w="1368" w:type="dxa"/>
            <w:tcBorders>
              <w:top w:val="nil"/>
              <w:left w:val="nil"/>
              <w:bottom w:val="single" w:sz="4" w:space="0" w:color="000000"/>
              <w:right w:val="single" w:sz="4" w:space="0" w:color="000000"/>
            </w:tcBorders>
            <w:shd w:val="clear" w:color="auto" w:fill="auto"/>
            <w:noWrap/>
            <w:vAlign w:val="bottom"/>
            <w:hideMark/>
          </w:tcPr>
          <w:p w:rsidR="000507F9" w:rsidRDefault="000507F9" w:rsidP="000507F9">
            <w:pPr>
              <w:jc w:val="center"/>
              <w:rPr>
                <w:rFonts w:ascii="Arial" w:hAnsi="Arial" w:cs="Arial"/>
                <w:sz w:val="20"/>
                <w:szCs w:val="20"/>
              </w:rPr>
            </w:pPr>
            <w:r>
              <w:rPr>
                <w:rFonts w:ascii="Arial" w:hAnsi="Arial" w:cs="Arial"/>
                <w:sz w:val="20"/>
                <w:szCs w:val="20"/>
              </w:rPr>
              <w:t>89</w:t>
            </w:r>
          </w:p>
        </w:tc>
        <w:tc>
          <w:tcPr>
            <w:tcW w:w="1677" w:type="dxa"/>
            <w:tcBorders>
              <w:top w:val="nil"/>
              <w:left w:val="nil"/>
              <w:bottom w:val="single" w:sz="4" w:space="0" w:color="000000"/>
              <w:right w:val="single" w:sz="4" w:space="0" w:color="000000"/>
            </w:tcBorders>
            <w:shd w:val="clear" w:color="auto" w:fill="auto"/>
            <w:noWrap/>
            <w:vAlign w:val="bottom"/>
            <w:hideMark/>
          </w:tcPr>
          <w:p w:rsidR="000507F9" w:rsidRDefault="000507F9" w:rsidP="000507F9">
            <w:pPr>
              <w:jc w:val="center"/>
              <w:rPr>
                <w:rFonts w:ascii="Arial" w:hAnsi="Arial" w:cs="Arial"/>
                <w:sz w:val="20"/>
                <w:szCs w:val="20"/>
              </w:rPr>
            </w:pPr>
            <w:r>
              <w:rPr>
                <w:rFonts w:ascii="Arial" w:hAnsi="Arial" w:cs="Arial"/>
                <w:sz w:val="20"/>
                <w:szCs w:val="20"/>
              </w:rPr>
              <w:t>6.74%</w:t>
            </w:r>
          </w:p>
        </w:tc>
      </w:tr>
    </w:tbl>
    <w:p w:rsidR="00025DAE" w:rsidRPr="0018122A" w:rsidRDefault="00025DAE" w:rsidP="00B237EF">
      <w:pPr>
        <w:rPr>
          <w:rFonts w:ascii="Arial" w:hAnsi="Arial" w:cs="Arial"/>
          <w:color w:val="000000" w:themeColor="text1"/>
          <w:sz w:val="20"/>
          <w:szCs w:val="20"/>
        </w:rPr>
      </w:pPr>
    </w:p>
    <w:p w:rsidR="00895921" w:rsidRPr="000507F9" w:rsidRDefault="005B4869" w:rsidP="000507F9">
      <w:pPr>
        <w:rPr>
          <w:rFonts w:ascii="仿宋" w:eastAsia="仿宋" w:hAnsi="仿宋"/>
          <w:color w:val="000000" w:themeColor="text1"/>
          <w:sz w:val="28"/>
          <w:szCs w:val="28"/>
        </w:rPr>
      </w:pPr>
      <w:r>
        <w:rPr>
          <w:rFonts w:ascii="仿宋" w:eastAsia="仿宋" w:hAnsi="仿宋"/>
          <w:noProof/>
          <w:color w:val="000000" w:themeColor="text1"/>
          <w:sz w:val="28"/>
          <w:szCs w:val="28"/>
        </w:rPr>
        <w:drawing>
          <wp:inline distT="0" distB="0" distL="0" distR="0">
            <wp:extent cx="5486400" cy="3200400"/>
            <wp:effectExtent l="19050" t="0" r="19050" b="0"/>
            <wp:docPr id="26"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050986" w:rsidRPr="0018122A">
        <w:rPr>
          <w:rFonts w:hint="eastAsia"/>
          <w:color w:val="000000" w:themeColor="text1"/>
        </w:rPr>
        <w:t xml:space="preserve">  </w:t>
      </w:r>
      <w:bookmarkStart w:id="34" w:name="_Toc512002189"/>
      <w:bookmarkStart w:id="35" w:name="_Toc512002119"/>
    </w:p>
    <w:bookmarkEnd w:id="34"/>
    <w:bookmarkEnd w:id="35"/>
    <w:p w:rsidR="00025DAE" w:rsidRPr="0018122A" w:rsidRDefault="00050986">
      <w:pPr>
        <w:pStyle w:val="2"/>
        <w:rPr>
          <w:rFonts w:hint="eastAsia"/>
          <w:color w:val="000000" w:themeColor="text1"/>
        </w:rPr>
      </w:pPr>
      <w:r w:rsidRPr="0018122A">
        <w:rPr>
          <w:rFonts w:hint="eastAsia"/>
          <w:color w:val="000000" w:themeColor="text1"/>
        </w:rPr>
        <w:t xml:space="preserve">    </w:t>
      </w:r>
      <w:bookmarkStart w:id="36" w:name="_Toc512002120"/>
      <w:bookmarkStart w:id="37" w:name="_Toc512002190"/>
      <w:bookmarkStart w:id="38" w:name="_Toc25137265"/>
      <w:r w:rsidRPr="0018122A">
        <w:rPr>
          <w:rFonts w:hint="eastAsia"/>
          <w:color w:val="000000" w:themeColor="text1"/>
        </w:rPr>
        <w:t>（</w:t>
      </w:r>
      <w:r w:rsidR="00C64016">
        <w:rPr>
          <w:rFonts w:hint="eastAsia"/>
          <w:color w:val="000000" w:themeColor="text1"/>
        </w:rPr>
        <w:t>三</w:t>
      </w:r>
      <w:r w:rsidRPr="0018122A">
        <w:rPr>
          <w:rFonts w:hint="eastAsia"/>
          <w:color w:val="000000" w:themeColor="text1"/>
        </w:rPr>
        <w:t>）</w:t>
      </w:r>
      <w:r w:rsidR="00D935EA">
        <w:rPr>
          <w:rFonts w:hint="eastAsia"/>
          <w:color w:val="000000" w:themeColor="text1"/>
        </w:rPr>
        <w:t>2019</w:t>
      </w:r>
      <w:r w:rsidR="00D935EA">
        <w:rPr>
          <w:rFonts w:hint="eastAsia"/>
          <w:color w:val="000000" w:themeColor="text1"/>
        </w:rPr>
        <w:t>年</w:t>
      </w:r>
      <w:r w:rsidR="00D935EA">
        <w:rPr>
          <w:rFonts w:hint="eastAsia"/>
          <w:color w:val="000000" w:themeColor="text1"/>
        </w:rPr>
        <w:t>1-</w:t>
      </w:r>
      <w:r w:rsidR="000507F9">
        <w:rPr>
          <w:rFonts w:hint="eastAsia"/>
          <w:color w:val="000000" w:themeColor="text1"/>
        </w:rPr>
        <w:t>9</w:t>
      </w:r>
      <w:r w:rsidR="00D935EA">
        <w:rPr>
          <w:rFonts w:hint="eastAsia"/>
          <w:color w:val="000000" w:themeColor="text1"/>
        </w:rPr>
        <w:t>月</w:t>
      </w:r>
      <w:r w:rsidRPr="0018122A">
        <w:rPr>
          <w:rFonts w:hint="eastAsia"/>
          <w:color w:val="000000" w:themeColor="text1"/>
        </w:rPr>
        <w:t>和龙法院法定（正常）审限内结案率情况</w:t>
      </w:r>
      <w:bookmarkEnd w:id="36"/>
      <w:bookmarkEnd w:id="37"/>
      <w:bookmarkEnd w:id="38"/>
    </w:p>
    <w:p w:rsidR="00025DAE" w:rsidRPr="0018122A" w:rsidRDefault="00D935EA">
      <w:pPr>
        <w:ind w:firstLine="570"/>
        <w:rPr>
          <w:rFonts w:ascii="仿宋" w:eastAsia="仿宋" w:hAnsi="仿宋"/>
          <w:color w:val="000000" w:themeColor="text1"/>
          <w:sz w:val="28"/>
          <w:szCs w:val="28"/>
        </w:rPr>
      </w:pPr>
      <w:r>
        <w:rPr>
          <w:rFonts w:ascii="仿宋" w:eastAsia="仿宋" w:hAnsi="仿宋"/>
          <w:color w:val="000000" w:themeColor="text1"/>
          <w:sz w:val="28"/>
          <w:szCs w:val="28"/>
        </w:rPr>
        <w:t>2019年1-</w:t>
      </w:r>
      <w:r w:rsidR="000507F9">
        <w:rPr>
          <w:rFonts w:ascii="仿宋" w:eastAsia="仿宋" w:hAnsi="仿宋" w:hint="eastAsia"/>
          <w:color w:val="000000" w:themeColor="text1"/>
          <w:sz w:val="28"/>
          <w:szCs w:val="28"/>
        </w:rPr>
        <w:t>9</w:t>
      </w:r>
      <w:r>
        <w:rPr>
          <w:rFonts w:ascii="仿宋" w:eastAsia="仿宋" w:hAnsi="仿宋"/>
          <w:color w:val="000000" w:themeColor="text1"/>
          <w:sz w:val="28"/>
          <w:szCs w:val="28"/>
        </w:rPr>
        <w:t>月</w:t>
      </w:r>
      <w:r w:rsidR="00050986" w:rsidRPr="0018122A">
        <w:rPr>
          <w:rFonts w:ascii="仿宋" w:eastAsia="仿宋" w:hAnsi="仿宋" w:hint="eastAsia"/>
          <w:color w:val="000000" w:themeColor="text1"/>
          <w:sz w:val="28"/>
          <w:szCs w:val="28"/>
        </w:rPr>
        <w:t>，和龙法定（正常）审限内结案率为</w:t>
      </w:r>
      <w:r w:rsidR="008D6321">
        <w:rPr>
          <w:rFonts w:ascii="仿宋" w:eastAsia="仿宋" w:hAnsi="仿宋" w:hint="eastAsia"/>
          <w:color w:val="000000" w:themeColor="text1"/>
          <w:sz w:val="28"/>
          <w:szCs w:val="28"/>
        </w:rPr>
        <w:t>99.</w:t>
      </w:r>
      <w:r w:rsidR="000507F9">
        <w:rPr>
          <w:rFonts w:ascii="仿宋" w:eastAsia="仿宋" w:hAnsi="仿宋" w:hint="eastAsia"/>
          <w:color w:val="000000" w:themeColor="text1"/>
          <w:sz w:val="28"/>
          <w:szCs w:val="28"/>
        </w:rPr>
        <w:t>81</w:t>
      </w:r>
      <w:r w:rsidR="00050986" w:rsidRPr="0018122A">
        <w:rPr>
          <w:rFonts w:ascii="仿宋" w:eastAsia="仿宋" w:hAnsi="仿宋" w:hint="eastAsia"/>
          <w:color w:val="000000" w:themeColor="text1"/>
          <w:sz w:val="28"/>
          <w:szCs w:val="28"/>
        </w:rPr>
        <w:t>%</w:t>
      </w:r>
      <w:r w:rsidR="00A85060" w:rsidRPr="0018122A">
        <w:rPr>
          <w:rFonts w:ascii="仿宋" w:eastAsia="仿宋" w:hAnsi="仿宋" w:hint="eastAsia"/>
          <w:color w:val="000000" w:themeColor="text1"/>
          <w:sz w:val="28"/>
          <w:szCs w:val="28"/>
        </w:rPr>
        <w:t>。</w:t>
      </w:r>
    </w:p>
    <w:p w:rsidR="00025DAE" w:rsidRPr="0018122A" w:rsidRDefault="00050986">
      <w:pPr>
        <w:pStyle w:val="2"/>
        <w:rPr>
          <w:rFonts w:hint="eastAsia"/>
          <w:color w:val="000000" w:themeColor="text1"/>
        </w:rPr>
      </w:pPr>
      <w:r w:rsidRPr="0018122A">
        <w:rPr>
          <w:rFonts w:hint="eastAsia"/>
          <w:color w:val="000000" w:themeColor="text1"/>
        </w:rPr>
        <w:t xml:space="preserve">    </w:t>
      </w:r>
      <w:bookmarkStart w:id="39" w:name="_Toc512002191"/>
      <w:bookmarkStart w:id="40" w:name="_Toc512002121"/>
      <w:bookmarkStart w:id="41" w:name="_Toc25137266"/>
      <w:r w:rsidRPr="0018122A">
        <w:rPr>
          <w:rFonts w:hint="eastAsia"/>
          <w:color w:val="000000" w:themeColor="text1"/>
        </w:rPr>
        <w:t>（</w:t>
      </w:r>
      <w:r w:rsidR="00C64016">
        <w:rPr>
          <w:rFonts w:hint="eastAsia"/>
          <w:color w:val="000000" w:themeColor="text1"/>
        </w:rPr>
        <w:t>四</w:t>
      </w:r>
      <w:r w:rsidRPr="0018122A">
        <w:rPr>
          <w:rFonts w:hint="eastAsia"/>
          <w:color w:val="000000" w:themeColor="text1"/>
        </w:rPr>
        <w:t>）</w:t>
      </w:r>
      <w:r w:rsidR="00D935EA">
        <w:rPr>
          <w:color w:val="000000" w:themeColor="text1"/>
        </w:rPr>
        <w:t>2019</w:t>
      </w:r>
      <w:r w:rsidR="00D935EA">
        <w:rPr>
          <w:color w:val="000000" w:themeColor="text1"/>
        </w:rPr>
        <w:t>年</w:t>
      </w:r>
      <w:r w:rsidR="00D935EA">
        <w:rPr>
          <w:color w:val="000000" w:themeColor="text1"/>
        </w:rPr>
        <w:t>1-</w:t>
      </w:r>
      <w:r w:rsidR="000507F9">
        <w:rPr>
          <w:rFonts w:hint="eastAsia"/>
          <w:color w:val="000000" w:themeColor="text1"/>
        </w:rPr>
        <w:t>9</w:t>
      </w:r>
      <w:r w:rsidR="00D935EA">
        <w:rPr>
          <w:color w:val="000000" w:themeColor="text1"/>
        </w:rPr>
        <w:t>月</w:t>
      </w:r>
      <w:r w:rsidRPr="0018122A">
        <w:rPr>
          <w:rFonts w:hint="eastAsia"/>
          <w:color w:val="000000" w:themeColor="text1"/>
        </w:rPr>
        <w:t>和龙法院诉讼</w:t>
      </w:r>
      <w:proofErr w:type="gramStart"/>
      <w:r w:rsidRPr="0018122A">
        <w:rPr>
          <w:rFonts w:hint="eastAsia"/>
          <w:color w:val="000000" w:themeColor="text1"/>
        </w:rPr>
        <w:t>案件结收比</w:t>
      </w:r>
      <w:proofErr w:type="gramEnd"/>
      <w:r w:rsidRPr="0018122A">
        <w:rPr>
          <w:rFonts w:hint="eastAsia"/>
          <w:color w:val="000000" w:themeColor="text1"/>
        </w:rPr>
        <w:t>情况统计表</w:t>
      </w:r>
      <w:bookmarkEnd w:id="39"/>
      <w:bookmarkEnd w:id="40"/>
      <w:bookmarkEnd w:id="41"/>
    </w:p>
    <w:p w:rsidR="002D2054" w:rsidRPr="0018122A" w:rsidRDefault="00D935EA" w:rsidP="002D2054">
      <w:pPr>
        <w:ind w:firstLine="573"/>
        <w:rPr>
          <w:rFonts w:ascii="仿宋" w:eastAsia="仿宋" w:hAnsi="仿宋"/>
          <w:color w:val="000000" w:themeColor="text1"/>
          <w:sz w:val="28"/>
          <w:szCs w:val="28"/>
        </w:rPr>
      </w:pPr>
      <w:r>
        <w:rPr>
          <w:rFonts w:ascii="仿宋" w:eastAsia="仿宋" w:hAnsi="仿宋"/>
          <w:color w:val="000000" w:themeColor="text1"/>
          <w:sz w:val="28"/>
          <w:szCs w:val="28"/>
        </w:rPr>
        <w:t>2019年</w:t>
      </w:r>
      <w:r w:rsidR="0080260C">
        <w:rPr>
          <w:rFonts w:ascii="仿宋" w:eastAsia="仿宋" w:hAnsi="仿宋" w:hint="eastAsia"/>
          <w:color w:val="000000" w:themeColor="text1"/>
          <w:sz w:val="28"/>
          <w:szCs w:val="28"/>
        </w:rPr>
        <w:t>1-</w:t>
      </w:r>
      <w:r w:rsidR="000507F9">
        <w:rPr>
          <w:rFonts w:ascii="仿宋" w:eastAsia="仿宋" w:hAnsi="仿宋" w:hint="eastAsia"/>
          <w:color w:val="000000" w:themeColor="text1"/>
          <w:sz w:val="28"/>
          <w:szCs w:val="28"/>
        </w:rPr>
        <w:t>9</w:t>
      </w:r>
      <w:r>
        <w:rPr>
          <w:rFonts w:ascii="仿宋" w:eastAsia="仿宋" w:hAnsi="仿宋"/>
          <w:color w:val="000000" w:themeColor="text1"/>
          <w:sz w:val="28"/>
          <w:szCs w:val="28"/>
        </w:rPr>
        <w:t>月</w:t>
      </w:r>
      <w:r w:rsidR="00050986" w:rsidRPr="0018122A">
        <w:rPr>
          <w:rFonts w:ascii="仿宋" w:eastAsia="仿宋" w:hAnsi="仿宋" w:hint="eastAsia"/>
          <w:color w:val="000000" w:themeColor="text1"/>
          <w:sz w:val="28"/>
          <w:szCs w:val="28"/>
        </w:rPr>
        <w:t>，和龙法院诉讼</w:t>
      </w:r>
      <w:proofErr w:type="gramStart"/>
      <w:r w:rsidR="00050986" w:rsidRPr="0018122A">
        <w:rPr>
          <w:rFonts w:ascii="仿宋" w:eastAsia="仿宋" w:hAnsi="仿宋" w:hint="eastAsia"/>
          <w:color w:val="000000" w:themeColor="text1"/>
          <w:sz w:val="28"/>
          <w:szCs w:val="28"/>
        </w:rPr>
        <w:t>案件结收比</w:t>
      </w:r>
      <w:proofErr w:type="gramEnd"/>
      <w:r w:rsidR="00050986" w:rsidRPr="0018122A">
        <w:rPr>
          <w:rFonts w:ascii="仿宋" w:eastAsia="仿宋" w:hAnsi="仿宋" w:hint="eastAsia"/>
          <w:color w:val="000000" w:themeColor="text1"/>
          <w:sz w:val="28"/>
          <w:szCs w:val="28"/>
        </w:rPr>
        <w:t>为</w:t>
      </w:r>
      <w:r w:rsidR="000A1F46">
        <w:rPr>
          <w:rFonts w:ascii="仿宋" w:eastAsia="仿宋" w:hAnsi="仿宋" w:hint="eastAsia"/>
          <w:color w:val="000000" w:themeColor="text1"/>
          <w:sz w:val="28"/>
          <w:szCs w:val="28"/>
        </w:rPr>
        <w:t>96.96</w:t>
      </w:r>
      <w:r w:rsidR="00050986" w:rsidRPr="0018122A">
        <w:rPr>
          <w:rFonts w:ascii="仿宋" w:eastAsia="仿宋" w:hAnsi="仿宋" w:hint="eastAsia"/>
          <w:color w:val="000000" w:themeColor="text1"/>
          <w:sz w:val="28"/>
          <w:szCs w:val="28"/>
        </w:rPr>
        <w:t>%（诉讼</w:t>
      </w:r>
      <w:proofErr w:type="gramStart"/>
      <w:r w:rsidR="00050986" w:rsidRPr="0018122A">
        <w:rPr>
          <w:rFonts w:ascii="仿宋" w:eastAsia="仿宋" w:hAnsi="仿宋" w:hint="eastAsia"/>
          <w:color w:val="000000" w:themeColor="text1"/>
          <w:sz w:val="28"/>
          <w:szCs w:val="28"/>
        </w:rPr>
        <w:t>案件结收比</w:t>
      </w:r>
      <w:proofErr w:type="gramEnd"/>
      <w:r w:rsidR="00050986" w:rsidRPr="0018122A">
        <w:rPr>
          <w:rFonts w:ascii="仿宋" w:eastAsia="仿宋" w:hAnsi="仿宋" w:hint="eastAsia"/>
          <w:color w:val="000000" w:themeColor="text1"/>
          <w:sz w:val="28"/>
          <w:szCs w:val="28"/>
        </w:rPr>
        <w:t>=已结案件数/新收案件数）</w:t>
      </w:r>
      <w:r w:rsidR="002D2054" w:rsidRPr="0018122A">
        <w:rPr>
          <w:rFonts w:ascii="仿宋" w:eastAsia="仿宋" w:hAnsi="仿宋" w:hint="eastAsia"/>
          <w:color w:val="000000" w:themeColor="text1"/>
          <w:sz w:val="28"/>
          <w:szCs w:val="28"/>
        </w:rPr>
        <w:t>。</w:t>
      </w:r>
    </w:p>
    <w:p w:rsidR="00025DAE" w:rsidRPr="0018122A" w:rsidRDefault="00050986">
      <w:pPr>
        <w:pStyle w:val="1"/>
        <w:rPr>
          <w:color w:val="000000" w:themeColor="text1"/>
        </w:rPr>
      </w:pPr>
      <w:r w:rsidRPr="0018122A">
        <w:rPr>
          <w:rFonts w:hint="eastAsia"/>
          <w:color w:val="000000" w:themeColor="text1"/>
        </w:rPr>
        <w:t xml:space="preserve">    </w:t>
      </w:r>
      <w:bookmarkStart w:id="42" w:name="_Toc512002129"/>
      <w:bookmarkStart w:id="43" w:name="_Toc512002199"/>
      <w:bookmarkStart w:id="44" w:name="_Toc25137267"/>
      <w:r w:rsidRPr="0018122A">
        <w:rPr>
          <w:rFonts w:hint="eastAsia"/>
          <w:color w:val="000000" w:themeColor="text1"/>
        </w:rPr>
        <w:t>五、</w:t>
      </w:r>
      <w:r w:rsidR="00D935EA">
        <w:rPr>
          <w:rFonts w:hint="eastAsia"/>
          <w:color w:val="000000" w:themeColor="text1"/>
        </w:rPr>
        <w:t>2019</w:t>
      </w:r>
      <w:r w:rsidR="00D935EA">
        <w:rPr>
          <w:rFonts w:hint="eastAsia"/>
          <w:color w:val="000000" w:themeColor="text1"/>
        </w:rPr>
        <w:t>年</w:t>
      </w:r>
      <w:r w:rsidR="00D935EA">
        <w:rPr>
          <w:rFonts w:hint="eastAsia"/>
          <w:color w:val="000000" w:themeColor="text1"/>
        </w:rPr>
        <w:t>1-</w:t>
      </w:r>
      <w:r w:rsidR="00C00646">
        <w:rPr>
          <w:rFonts w:hint="eastAsia"/>
          <w:color w:val="000000" w:themeColor="text1"/>
        </w:rPr>
        <w:t>9</w:t>
      </w:r>
      <w:r w:rsidR="00D935EA">
        <w:rPr>
          <w:rFonts w:hint="eastAsia"/>
          <w:color w:val="000000" w:themeColor="text1"/>
        </w:rPr>
        <w:t>月</w:t>
      </w:r>
      <w:r w:rsidRPr="0018122A">
        <w:rPr>
          <w:rFonts w:hint="eastAsia"/>
          <w:color w:val="000000" w:themeColor="text1"/>
        </w:rPr>
        <w:t>和龙法院诉讼案件未结情况</w:t>
      </w:r>
      <w:bookmarkEnd w:id="42"/>
      <w:bookmarkEnd w:id="43"/>
      <w:bookmarkEnd w:id="44"/>
    </w:p>
    <w:p w:rsidR="00025DAE" w:rsidRPr="0018122A" w:rsidRDefault="00D935EA">
      <w:pPr>
        <w:spacing w:line="360" w:lineRule="auto"/>
        <w:ind w:firstLine="573"/>
        <w:rPr>
          <w:rFonts w:ascii="仿宋" w:eastAsia="仿宋" w:hAnsi="仿宋"/>
          <w:color w:val="000000" w:themeColor="text1"/>
          <w:sz w:val="28"/>
          <w:szCs w:val="28"/>
        </w:rPr>
      </w:pPr>
      <w:r>
        <w:rPr>
          <w:rFonts w:ascii="仿宋" w:eastAsia="仿宋" w:hAnsi="仿宋" w:hint="eastAsia"/>
          <w:color w:val="000000" w:themeColor="text1"/>
          <w:sz w:val="28"/>
          <w:szCs w:val="28"/>
        </w:rPr>
        <w:t>2019年1-</w:t>
      </w:r>
      <w:r w:rsidR="00C00646">
        <w:rPr>
          <w:rFonts w:ascii="仿宋" w:eastAsia="仿宋" w:hAnsi="仿宋" w:hint="eastAsia"/>
          <w:color w:val="000000" w:themeColor="text1"/>
          <w:sz w:val="28"/>
          <w:szCs w:val="28"/>
        </w:rPr>
        <w:t>9</w:t>
      </w:r>
      <w:r>
        <w:rPr>
          <w:rFonts w:ascii="仿宋" w:eastAsia="仿宋" w:hAnsi="仿宋" w:hint="eastAsia"/>
          <w:color w:val="000000" w:themeColor="text1"/>
          <w:sz w:val="28"/>
          <w:szCs w:val="28"/>
        </w:rPr>
        <w:t>月</w:t>
      </w:r>
      <w:r w:rsidR="00050986" w:rsidRPr="0018122A">
        <w:rPr>
          <w:rFonts w:ascii="仿宋" w:eastAsia="仿宋" w:hAnsi="仿宋" w:hint="eastAsia"/>
          <w:color w:val="000000" w:themeColor="text1"/>
          <w:sz w:val="28"/>
          <w:szCs w:val="28"/>
        </w:rPr>
        <w:t>和龙法院共有未结诉讼案件</w:t>
      </w:r>
      <w:r w:rsidR="00C00646">
        <w:rPr>
          <w:rFonts w:ascii="仿宋" w:eastAsia="仿宋" w:hAnsi="仿宋" w:hint="eastAsia"/>
          <w:color w:val="000000" w:themeColor="text1"/>
          <w:sz w:val="28"/>
          <w:szCs w:val="28"/>
        </w:rPr>
        <w:t>205</w:t>
      </w:r>
      <w:r w:rsidR="00BA6920">
        <w:rPr>
          <w:rFonts w:ascii="仿宋" w:eastAsia="仿宋" w:hAnsi="仿宋" w:hint="eastAsia"/>
          <w:color w:val="000000" w:themeColor="text1"/>
          <w:sz w:val="28"/>
          <w:szCs w:val="28"/>
        </w:rPr>
        <w:t>件，同比减少</w:t>
      </w:r>
      <w:r w:rsidR="00C00646">
        <w:rPr>
          <w:rFonts w:ascii="仿宋" w:eastAsia="仿宋" w:hAnsi="仿宋" w:hint="eastAsia"/>
          <w:color w:val="000000" w:themeColor="text1"/>
          <w:sz w:val="28"/>
          <w:szCs w:val="28"/>
        </w:rPr>
        <w:t>1</w:t>
      </w:r>
      <w:r w:rsidR="00B52DE3" w:rsidRPr="0018122A">
        <w:rPr>
          <w:rFonts w:ascii="仿宋" w:eastAsia="仿宋" w:hAnsi="仿宋" w:hint="eastAsia"/>
          <w:color w:val="000000" w:themeColor="text1"/>
          <w:sz w:val="28"/>
          <w:szCs w:val="28"/>
        </w:rPr>
        <w:t>件，</w:t>
      </w:r>
      <w:r w:rsidR="00BA6920">
        <w:rPr>
          <w:rFonts w:ascii="仿宋" w:eastAsia="仿宋" w:hAnsi="仿宋" w:hint="eastAsia"/>
          <w:color w:val="000000" w:themeColor="text1"/>
          <w:sz w:val="28"/>
          <w:szCs w:val="28"/>
        </w:rPr>
        <w:t>下降</w:t>
      </w:r>
      <w:r w:rsidR="00C00646">
        <w:rPr>
          <w:rFonts w:ascii="仿宋" w:eastAsia="仿宋" w:hAnsi="仿宋" w:hint="eastAsia"/>
          <w:color w:val="000000" w:themeColor="text1"/>
          <w:sz w:val="28"/>
          <w:szCs w:val="28"/>
        </w:rPr>
        <w:t>0.49</w:t>
      </w:r>
      <w:r w:rsidR="00050986" w:rsidRPr="0018122A">
        <w:rPr>
          <w:rFonts w:ascii="仿宋" w:eastAsia="仿宋" w:hAnsi="仿宋" w:hint="eastAsia"/>
          <w:color w:val="000000" w:themeColor="text1"/>
          <w:sz w:val="28"/>
          <w:szCs w:val="28"/>
        </w:rPr>
        <w:t>%。</w:t>
      </w:r>
    </w:p>
    <w:p w:rsidR="00025DAE" w:rsidRPr="0018122A" w:rsidRDefault="00050986">
      <w:pPr>
        <w:pStyle w:val="2"/>
        <w:rPr>
          <w:rFonts w:hint="eastAsia"/>
          <w:color w:val="000000" w:themeColor="text1"/>
        </w:rPr>
      </w:pPr>
      <w:r w:rsidRPr="0018122A">
        <w:rPr>
          <w:rFonts w:hint="eastAsia"/>
          <w:color w:val="000000" w:themeColor="text1"/>
        </w:rPr>
        <w:t xml:space="preserve">    </w:t>
      </w:r>
      <w:bookmarkStart w:id="45" w:name="_Toc512002130"/>
      <w:bookmarkStart w:id="46" w:name="_Toc512002200"/>
      <w:bookmarkStart w:id="47" w:name="_Toc25137268"/>
      <w:r w:rsidRPr="0018122A">
        <w:rPr>
          <w:rFonts w:hint="eastAsia"/>
          <w:color w:val="000000" w:themeColor="text1"/>
        </w:rPr>
        <w:t>（一）</w:t>
      </w:r>
      <w:r w:rsidR="00D935EA">
        <w:rPr>
          <w:rFonts w:hint="eastAsia"/>
          <w:color w:val="000000" w:themeColor="text1"/>
        </w:rPr>
        <w:t>2019</w:t>
      </w:r>
      <w:r w:rsidR="00D935EA">
        <w:rPr>
          <w:rFonts w:hint="eastAsia"/>
          <w:color w:val="000000" w:themeColor="text1"/>
        </w:rPr>
        <w:t>年</w:t>
      </w:r>
      <w:r w:rsidR="00D935EA">
        <w:rPr>
          <w:rFonts w:hint="eastAsia"/>
          <w:color w:val="000000" w:themeColor="text1"/>
        </w:rPr>
        <w:t>1-</w:t>
      </w:r>
      <w:r w:rsidR="00C00646">
        <w:rPr>
          <w:rFonts w:hint="eastAsia"/>
          <w:color w:val="000000" w:themeColor="text1"/>
        </w:rPr>
        <w:t>9</w:t>
      </w:r>
      <w:r w:rsidR="00D935EA">
        <w:rPr>
          <w:rFonts w:hint="eastAsia"/>
          <w:color w:val="000000" w:themeColor="text1"/>
        </w:rPr>
        <w:t>月</w:t>
      </w:r>
      <w:r w:rsidRPr="0018122A">
        <w:rPr>
          <w:rFonts w:hint="eastAsia"/>
          <w:color w:val="000000" w:themeColor="text1"/>
        </w:rPr>
        <w:t>和龙法院长期未结诉讼案件占比情况</w:t>
      </w:r>
      <w:bookmarkEnd w:id="45"/>
      <w:bookmarkEnd w:id="46"/>
      <w:bookmarkEnd w:id="47"/>
    </w:p>
    <w:p w:rsidR="00A83983" w:rsidRPr="003545D5" w:rsidRDefault="00050986" w:rsidP="003545D5">
      <w:pPr>
        <w:spacing w:line="360" w:lineRule="auto"/>
        <w:ind w:firstLine="573"/>
        <w:rPr>
          <w:rFonts w:ascii="仿宋" w:eastAsia="仿宋" w:hAnsi="仿宋"/>
          <w:color w:val="000000" w:themeColor="text1"/>
          <w:sz w:val="28"/>
          <w:szCs w:val="28"/>
        </w:rPr>
      </w:pPr>
      <w:r w:rsidRPr="0018122A">
        <w:rPr>
          <w:rFonts w:ascii="仿宋" w:eastAsia="仿宋" w:hAnsi="仿宋" w:hint="eastAsia"/>
          <w:color w:val="000000" w:themeColor="text1"/>
          <w:sz w:val="28"/>
          <w:szCs w:val="28"/>
        </w:rPr>
        <w:t>截至</w:t>
      </w:r>
      <w:r w:rsidR="00D935EA">
        <w:rPr>
          <w:rFonts w:ascii="仿宋" w:eastAsia="仿宋" w:hAnsi="仿宋" w:hint="eastAsia"/>
          <w:color w:val="000000" w:themeColor="text1"/>
          <w:sz w:val="28"/>
          <w:szCs w:val="28"/>
        </w:rPr>
        <w:t>2019年</w:t>
      </w:r>
      <w:r w:rsidR="00C00646">
        <w:rPr>
          <w:rFonts w:ascii="仿宋" w:eastAsia="仿宋" w:hAnsi="仿宋" w:hint="eastAsia"/>
          <w:color w:val="000000" w:themeColor="text1"/>
          <w:sz w:val="28"/>
          <w:szCs w:val="28"/>
        </w:rPr>
        <w:t>9</w:t>
      </w:r>
      <w:r w:rsidR="00D935EA">
        <w:rPr>
          <w:rFonts w:ascii="仿宋" w:eastAsia="仿宋" w:hAnsi="仿宋" w:hint="eastAsia"/>
          <w:color w:val="000000" w:themeColor="text1"/>
          <w:sz w:val="28"/>
          <w:szCs w:val="28"/>
        </w:rPr>
        <w:t>月</w:t>
      </w:r>
      <w:r w:rsidR="001956CD">
        <w:rPr>
          <w:rFonts w:ascii="仿宋" w:eastAsia="仿宋" w:hAnsi="仿宋" w:hint="eastAsia"/>
          <w:color w:val="000000" w:themeColor="text1"/>
          <w:sz w:val="28"/>
          <w:szCs w:val="28"/>
        </w:rPr>
        <w:t>3</w:t>
      </w:r>
      <w:r w:rsidR="00C00646">
        <w:rPr>
          <w:rFonts w:ascii="仿宋" w:eastAsia="仿宋" w:hAnsi="仿宋" w:hint="eastAsia"/>
          <w:color w:val="000000" w:themeColor="text1"/>
          <w:sz w:val="28"/>
          <w:szCs w:val="28"/>
        </w:rPr>
        <w:t>0</w:t>
      </w:r>
      <w:r w:rsidR="001956CD">
        <w:rPr>
          <w:rFonts w:ascii="仿宋" w:eastAsia="仿宋" w:hAnsi="仿宋" w:hint="eastAsia"/>
          <w:color w:val="000000" w:themeColor="text1"/>
          <w:sz w:val="28"/>
          <w:szCs w:val="28"/>
        </w:rPr>
        <w:t>日</w:t>
      </w:r>
      <w:r w:rsidRPr="0018122A">
        <w:rPr>
          <w:rFonts w:ascii="仿宋" w:eastAsia="仿宋" w:hAnsi="仿宋" w:hint="eastAsia"/>
          <w:color w:val="000000" w:themeColor="text1"/>
          <w:sz w:val="28"/>
          <w:szCs w:val="28"/>
        </w:rPr>
        <w:t>，和龙</w:t>
      </w:r>
      <w:proofErr w:type="gramStart"/>
      <w:r w:rsidRPr="0018122A">
        <w:rPr>
          <w:rFonts w:ascii="仿宋" w:eastAsia="仿宋" w:hAnsi="仿宋" w:hint="eastAsia"/>
          <w:color w:val="000000" w:themeColor="text1"/>
          <w:sz w:val="28"/>
          <w:szCs w:val="28"/>
        </w:rPr>
        <w:t>法院超</w:t>
      </w:r>
      <w:proofErr w:type="gramEnd"/>
      <w:r w:rsidRPr="0018122A">
        <w:rPr>
          <w:rFonts w:ascii="仿宋" w:eastAsia="仿宋" w:hAnsi="仿宋" w:hint="eastAsia"/>
          <w:color w:val="000000" w:themeColor="text1"/>
          <w:sz w:val="28"/>
          <w:szCs w:val="28"/>
        </w:rPr>
        <w:t>1</w:t>
      </w:r>
      <w:r w:rsidRPr="0018122A">
        <w:rPr>
          <w:rFonts w:ascii="仿宋" w:eastAsia="仿宋" w:hAnsi="仿宋"/>
          <w:color w:val="000000" w:themeColor="text1"/>
          <w:sz w:val="28"/>
          <w:szCs w:val="28"/>
        </w:rPr>
        <w:t>2</w:t>
      </w:r>
      <w:r w:rsidRPr="0018122A">
        <w:rPr>
          <w:rFonts w:ascii="仿宋" w:eastAsia="仿宋" w:hAnsi="仿宋" w:hint="eastAsia"/>
          <w:color w:val="000000" w:themeColor="text1"/>
          <w:sz w:val="28"/>
          <w:szCs w:val="28"/>
        </w:rPr>
        <w:t>个月不满2</w:t>
      </w:r>
      <w:r w:rsidRPr="0018122A">
        <w:rPr>
          <w:rFonts w:ascii="仿宋" w:eastAsia="仿宋" w:hAnsi="仿宋"/>
          <w:color w:val="000000" w:themeColor="text1"/>
          <w:sz w:val="28"/>
          <w:szCs w:val="28"/>
        </w:rPr>
        <w:t>4</w:t>
      </w:r>
      <w:r w:rsidRPr="0018122A">
        <w:rPr>
          <w:rFonts w:ascii="仿宋" w:eastAsia="仿宋" w:hAnsi="仿宋" w:hint="eastAsia"/>
          <w:color w:val="000000" w:themeColor="text1"/>
          <w:sz w:val="28"/>
          <w:szCs w:val="28"/>
        </w:rPr>
        <w:t>个月的未结诉讼案件</w:t>
      </w:r>
      <w:r w:rsidR="00430B8F">
        <w:rPr>
          <w:rFonts w:ascii="仿宋" w:eastAsia="仿宋" w:hAnsi="仿宋" w:hint="eastAsia"/>
          <w:color w:val="000000" w:themeColor="text1"/>
          <w:sz w:val="28"/>
          <w:szCs w:val="28"/>
        </w:rPr>
        <w:t>4</w:t>
      </w:r>
      <w:r w:rsidRPr="0018122A">
        <w:rPr>
          <w:rFonts w:ascii="仿宋" w:eastAsia="仿宋" w:hAnsi="仿宋" w:hint="eastAsia"/>
          <w:color w:val="000000" w:themeColor="text1"/>
          <w:sz w:val="28"/>
          <w:szCs w:val="28"/>
        </w:rPr>
        <w:t>件</w:t>
      </w:r>
      <w:r w:rsidR="00DD52F9" w:rsidRPr="0018122A">
        <w:rPr>
          <w:rFonts w:ascii="仿宋" w:eastAsia="仿宋" w:hAnsi="仿宋" w:hint="eastAsia"/>
          <w:color w:val="000000" w:themeColor="text1"/>
          <w:sz w:val="28"/>
          <w:szCs w:val="28"/>
        </w:rPr>
        <w:t>，</w:t>
      </w:r>
      <w:r w:rsidR="00C24D62">
        <w:rPr>
          <w:rFonts w:ascii="仿宋" w:eastAsia="仿宋" w:hAnsi="仿宋" w:hint="eastAsia"/>
          <w:color w:val="000000" w:themeColor="text1"/>
          <w:sz w:val="28"/>
          <w:szCs w:val="28"/>
        </w:rPr>
        <w:t>一年到两年</w:t>
      </w:r>
      <w:r w:rsidR="0031019A" w:rsidRPr="0018122A">
        <w:rPr>
          <w:rFonts w:ascii="仿宋" w:eastAsia="仿宋" w:hAnsi="仿宋" w:hint="eastAsia"/>
          <w:color w:val="000000" w:themeColor="text1"/>
          <w:sz w:val="28"/>
          <w:szCs w:val="28"/>
        </w:rPr>
        <w:t>长期未结诉讼案件占比</w:t>
      </w:r>
      <w:r w:rsidR="00FF0F7A">
        <w:rPr>
          <w:rFonts w:ascii="仿宋" w:eastAsia="仿宋" w:hAnsi="仿宋" w:hint="eastAsia"/>
          <w:color w:val="000000" w:themeColor="text1"/>
          <w:sz w:val="28"/>
          <w:szCs w:val="28"/>
        </w:rPr>
        <w:t>0.</w:t>
      </w:r>
      <w:r w:rsidR="00430B8F">
        <w:rPr>
          <w:rFonts w:ascii="仿宋" w:eastAsia="仿宋" w:hAnsi="仿宋" w:hint="eastAsia"/>
          <w:color w:val="000000" w:themeColor="text1"/>
          <w:sz w:val="28"/>
          <w:szCs w:val="28"/>
        </w:rPr>
        <w:t>32</w:t>
      </w:r>
      <w:r w:rsidR="006D3862" w:rsidRPr="0018122A">
        <w:rPr>
          <w:rFonts w:ascii="仿宋" w:eastAsia="仿宋" w:hAnsi="仿宋" w:hint="eastAsia"/>
          <w:color w:val="000000" w:themeColor="text1"/>
          <w:sz w:val="28"/>
          <w:szCs w:val="28"/>
        </w:rPr>
        <w:t>%</w:t>
      </w:r>
      <w:r w:rsidRPr="0018122A">
        <w:rPr>
          <w:rFonts w:ascii="仿宋" w:eastAsia="仿宋" w:hAnsi="仿宋" w:hint="eastAsia"/>
          <w:color w:val="000000" w:themeColor="text1"/>
          <w:sz w:val="28"/>
          <w:szCs w:val="28"/>
        </w:rPr>
        <w:t>；超过2</w:t>
      </w:r>
      <w:r w:rsidRPr="0018122A">
        <w:rPr>
          <w:rFonts w:ascii="仿宋" w:eastAsia="仿宋" w:hAnsi="仿宋"/>
          <w:color w:val="000000" w:themeColor="text1"/>
          <w:sz w:val="28"/>
          <w:szCs w:val="28"/>
        </w:rPr>
        <w:t>4</w:t>
      </w:r>
      <w:r w:rsidRPr="0018122A">
        <w:rPr>
          <w:rFonts w:ascii="仿宋" w:eastAsia="仿宋" w:hAnsi="仿宋" w:hint="eastAsia"/>
          <w:color w:val="000000" w:themeColor="text1"/>
          <w:sz w:val="28"/>
          <w:szCs w:val="28"/>
        </w:rPr>
        <w:t>个月未结诉讼案件</w:t>
      </w:r>
      <w:r w:rsidR="00C24D62">
        <w:rPr>
          <w:rFonts w:ascii="仿宋" w:eastAsia="仿宋" w:hAnsi="仿宋" w:hint="eastAsia"/>
          <w:color w:val="000000" w:themeColor="text1"/>
          <w:sz w:val="28"/>
          <w:szCs w:val="28"/>
        </w:rPr>
        <w:t>1</w:t>
      </w:r>
      <w:r w:rsidRPr="0018122A">
        <w:rPr>
          <w:rFonts w:ascii="仿宋" w:eastAsia="仿宋" w:hAnsi="仿宋" w:hint="eastAsia"/>
          <w:color w:val="000000" w:themeColor="text1"/>
          <w:sz w:val="28"/>
          <w:szCs w:val="28"/>
        </w:rPr>
        <w:t>件，</w:t>
      </w:r>
      <w:r w:rsidR="00C24D62">
        <w:rPr>
          <w:rFonts w:ascii="仿宋" w:eastAsia="仿宋" w:hAnsi="仿宋" w:hint="eastAsia"/>
          <w:color w:val="000000" w:themeColor="text1"/>
          <w:sz w:val="28"/>
          <w:szCs w:val="28"/>
        </w:rPr>
        <w:t>超过两年</w:t>
      </w:r>
      <w:r w:rsidR="00E97046" w:rsidRPr="0018122A">
        <w:rPr>
          <w:rFonts w:ascii="仿宋" w:eastAsia="仿宋" w:hAnsi="仿宋" w:hint="eastAsia"/>
          <w:color w:val="000000" w:themeColor="text1"/>
          <w:sz w:val="28"/>
          <w:szCs w:val="28"/>
        </w:rPr>
        <w:t>长期未结诉讼案件占比</w:t>
      </w:r>
      <w:r w:rsidR="00F70681">
        <w:rPr>
          <w:rFonts w:ascii="仿宋" w:eastAsia="仿宋" w:hAnsi="仿宋" w:hint="eastAsia"/>
          <w:color w:val="000000" w:themeColor="text1"/>
          <w:sz w:val="28"/>
          <w:szCs w:val="28"/>
        </w:rPr>
        <w:t>0.0</w:t>
      </w:r>
      <w:r w:rsidR="00430B8F">
        <w:rPr>
          <w:rFonts w:ascii="仿宋" w:eastAsia="仿宋" w:hAnsi="仿宋" w:hint="eastAsia"/>
          <w:color w:val="000000" w:themeColor="text1"/>
          <w:sz w:val="28"/>
          <w:szCs w:val="28"/>
        </w:rPr>
        <w:t>8</w:t>
      </w:r>
      <w:r w:rsidR="00E97046" w:rsidRPr="0018122A">
        <w:rPr>
          <w:rFonts w:ascii="仿宋" w:eastAsia="仿宋" w:hAnsi="仿宋" w:hint="eastAsia"/>
          <w:color w:val="000000" w:themeColor="text1"/>
          <w:sz w:val="28"/>
          <w:szCs w:val="28"/>
        </w:rPr>
        <w:t>%。</w:t>
      </w:r>
    </w:p>
    <w:p w:rsidR="00025DAE" w:rsidRPr="0018122A" w:rsidRDefault="00050986">
      <w:pPr>
        <w:pStyle w:val="2"/>
        <w:rPr>
          <w:rFonts w:hint="eastAsia"/>
          <w:color w:val="000000" w:themeColor="text1"/>
        </w:rPr>
      </w:pPr>
      <w:r w:rsidRPr="0018122A">
        <w:rPr>
          <w:rFonts w:hint="eastAsia"/>
          <w:color w:val="000000" w:themeColor="text1"/>
        </w:rPr>
        <w:t xml:space="preserve">    </w:t>
      </w:r>
      <w:bookmarkStart w:id="48" w:name="_Toc512002202"/>
      <w:bookmarkStart w:id="49" w:name="_Toc512002132"/>
      <w:bookmarkStart w:id="50" w:name="_Toc25137269"/>
      <w:r w:rsidRPr="0018122A">
        <w:rPr>
          <w:rFonts w:hint="eastAsia"/>
          <w:color w:val="000000" w:themeColor="text1"/>
        </w:rPr>
        <w:t>（</w:t>
      </w:r>
      <w:r w:rsidR="00C64016">
        <w:rPr>
          <w:rFonts w:hint="eastAsia"/>
          <w:color w:val="000000" w:themeColor="text1"/>
        </w:rPr>
        <w:t>二</w:t>
      </w:r>
      <w:r w:rsidRPr="0018122A">
        <w:rPr>
          <w:rFonts w:hint="eastAsia"/>
          <w:color w:val="000000" w:themeColor="text1"/>
        </w:rPr>
        <w:t>）</w:t>
      </w:r>
      <w:r w:rsidR="00D935EA">
        <w:rPr>
          <w:rFonts w:hint="eastAsia"/>
          <w:color w:val="000000" w:themeColor="text1"/>
        </w:rPr>
        <w:t>2019</w:t>
      </w:r>
      <w:r w:rsidR="00D935EA">
        <w:rPr>
          <w:rFonts w:hint="eastAsia"/>
          <w:color w:val="000000" w:themeColor="text1"/>
        </w:rPr>
        <w:t>年</w:t>
      </w:r>
      <w:r w:rsidR="00D935EA">
        <w:rPr>
          <w:rFonts w:hint="eastAsia"/>
          <w:color w:val="000000" w:themeColor="text1"/>
        </w:rPr>
        <w:t>1-</w:t>
      </w:r>
      <w:r w:rsidR="00127444">
        <w:rPr>
          <w:rFonts w:hint="eastAsia"/>
          <w:color w:val="000000" w:themeColor="text1"/>
        </w:rPr>
        <w:t>9</w:t>
      </w:r>
      <w:r w:rsidR="00D935EA">
        <w:rPr>
          <w:rFonts w:hint="eastAsia"/>
          <w:color w:val="000000" w:themeColor="text1"/>
        </w:rPr>
        <w:t>月</w:t>
      </w:r>
      <w:r w:rsidRPr="0018122A">
        <w:rPr>
          <w:rFonts w:hint="eastAsia"/>
          <w:color w:val="000000" w:themeColor="text1"/>
        </w:rPr>
        <w:t>延长审限未结比情况</w:t>
      </w:r>
      <w:bookmarkEnd w:id="48"/>
      <w:bookmarkEnd w:id="49"/>
      <w:bookmarkEnd w:id="50"/>
    </w:p>
    <w:p w:rsidR="007275AF" w:rsidRPr="0018122A" w:rsidRDefault="00050986" w:rsidP="006D3862">
      <w:pPr>
        <w:spacing w:line="300" w:lineRule="auto"/>
        <w:ind w:firstLine="573"/>
        <w:rPr>
          <w:rFonts w:ascii="仿宋" w:eastAsia="仿宋" w:hAnsi="仿宋"/>
          <w:color w:val="000000" w:themeColor="text1"/>
          <w:sz w:val="28"/>
          <w:szCs w:val="28"/>
        </w:rPr>
      </w:pPr>
      <w:r w:rsidRPr="0018122A">
        <w:rPr>
          <w:rFonts w:ascii="仿宋" w:eastAsia="仿宋" w:hAnsi="仿宋" w:hint="eastAsia"/>
          <w:color w:val="000000" w:themeColor="text1"/>
          <w:sz w:val="28"/>
          <w:szCs w:val="28"/>
        </w:rPr>
        <w:t xml:space="preserve"> </w:t>
      </w:r>
      <w:r w:rsidR="00D935EA">
        <w:rPr>
          <w:rFonts w:ascii="仿宋" w:eastAsia="仿宋" w:hAnsi="仿宋" w:hint="eastAsia"/>
          <w:color w:val="000000" w:themeColor="text1"/>
          <w:sz w:val="28"/>
          <w:szCs w:val="28"/>
        </w:rPr>
        <w:t>2019年1-</w:t>
      </w:r>
      <w:r w:rsidR="00127444">
        <w:rPr>
          <w:rFonts w:ascii="仿宋" w:eastAsia="仿宋" w:hAnsi="仿宋" w:hint="eastAsia"/>
          <w:color w:val="000000" w:themeColor="text1"/>
          <w:sz w:val="28"/>
          <w:szCs w:val="28"/>
        </w:rPr>
        <w:t>9</w:t>
      </w:r>
      <w:r w:rsidR="00D935EA">
        <w:rPr>
          <w:rFonts w:ascii="仿宋" w:eastAsia="仿宋" w:hAnsi="仿宋" w:hint="eastAsia"/>
          <w:color w:val="000000" w:themeColor="text1"/>
          <w:sz w:val="28"/>
          <w:szCs w:val="28"/>
        </w:rPr>
        <w:t>月</w:t>
      </w:r>
      <w:r w:rsidR="009B5F9B" w:rsidRPr="0018122A">
        <w:rPr>
          <w:rFonts w:ascii="仿宋" w:eastAsia="仿宋" w:hAnsi="仿宋" w:hint="eastAsia"/>
          <w:color w:val="000000" w:themeColor="text1"/>
          <w:sz w:val="28"/>
          <w:szCs w:val="28"/>
        </w:rPr>
        <w:t>和龙法院延长</w:t>
      </w:r>
      <w:proofErr w:type="gramStart"/>
      <w:r w:rsidR="009B5F9B" w:rsidRPr="0018122A">
        <w:rPr>
          <w:rFonts w:ascii="仿宋" w:eastAsia="仿宋" w:hAnsi="仿宋" w:hint="eastAsia"/>
          <w:color w:val="000000" w:themeColor="text1"/>
          <w:sz w:val="28"/>
          <w:szCs w:val="28"/>
        </w:rPr>
        <w:t>审限</w:t>
      </w:r>
      <w:r w:rsidR="00D61CDA">
        <w:rPr>
          <w:rFonts w:ascii="仿宋" w:eastAsia="仿宋" w:hAnsi="仿宋" w:hint="eastAsia"/>
          <w:color w:val="000000" w:themeColor="text1"/>
          <w:sz w:val="28"/>
          <w:szCs w:val="28"/>
        </w:rPr>
        <w:t>未结</w:t>
      </w:r>
      <w:r w:rsidR="00CC62ED">
        <w:rPr>
          <w:rFonts w:ascii="仿宋" w:eastAsia="仿宋" w:hAnsi="仿宋" w:hint="eastAsia"/>
          <w:color w:val="000000" w:themeColor="text1"/>
          <w:sz w:val="28"/>
          <w:szCs w:val="28"/>
        </w:rPr>
        <w:t>案</w:t>
      </w:r>
      <w:proofErr w:type="gramEnd"/>
      <w:r w:rsidR="00CC62ED">
        <w:rPr>
          <w:rFonts w:ascii="仿宋" w:eastAsia="仿宋" w:hAnsi="仿宋" w:hint="eastAsia"/>
          <w:color w:val="000000" w:themeColor="text1"/>
          <w:sz w:val="28"/>
          <w:szCs w:val="28"/>
        </w:rPr>
        <w:t>件0件</w:t>
      </w:r>
      <w:r w:rsidR="009B5F9B" w:rsidRPr="0018122A">
        <w:rPr>
          <w:rFonts w:ascii="仿宋" w:eastAsia="仿宋" w:hAnsi="仿宋" w:hint="eastAsia"/>
          <w:color w:val="000000" w:themeColor="text1"/>
          <w:sz w:val="28"/>
          <w:szCs w:val="28"/>
        </w:rPr>
        <w:t>，</w:t>
      </w:r>
      <w:r w:rsidRPr="0018122A">
        <w:rPr>
          <w:rFonts w:ascii="仿宋" w:eastAsia="仿宋" w:hAnsi="仿宋" w:hint="eastAsia"/>
          <w:color w:val="000000" w:themeColor="text1"/>
          <w:sz w:val="28"/>
          <w:szCs w:val="28"/>
        </w:rPr>
        <w:t>延长审限未结比为</w:t>
      </w:r>
      <w:r w:rsidRPr="0018122A">
        <w:rPr>
          <w:rFonts w:ascii="仿宋" w:eastAsia="仿宋" w:hAnsi="仿宋"/>
          <w:color w:val="000000" w:themeColor="text1"/>
          <w:sz w:val="28"/>
          <w:szCs w:val="28"/>
        </w:rPr>
        <w:t>0</w:t>
      </w:r>
      <w:r w:rsidR="006E7B95" w:rsidRPr="0018122A">
        <w:rPr>
          <w:rFonts w:ascii="仿宋" w:eastAsia="仿宋" w:hAnsi="仿宋" w:hint="eastAsia"/>
          <w:color w:val="000000" w:themeColor="text1"/>
          <w:sz w:val="28"/>
          <w:szCs w:val="28"/>
        </w:rPr>
        <w:t>.</w:t>
      </w:r>
      <w:r w:rsidR="00CC62ED">
        <w:rPr>
          <w:rFonts w:ascii="仿宋" w:eastAsia="仿宋" w:hAnsi="仿宋" w:hint="eastAsia"/>
          <w:color w:val="000000" w:themeColor="text1"/>
          <w:sz w:val="28"/>
          <w:szCs w:val="28"/>
        </w:rPr>
        <w:t>00</w:t>
      </w:r>
      <w:r w:rsidRPr="0018122A">
        <w:rPr>
          <w:rFonts w:ascii="仿宋" w:eastAsia="仿宋" w:hAnsi="仿宋" w:hint="eastAsia"/>
          <w:color w:val="000000" w:themeColor="text1"/>
          <w:sz w:val="28"/>
          <w:szCs w:val="28"/>
        </w:rPr>
        <w:t>%。该指标反映了审理效率，该指标是逆向指标，与法定（正常）审限内结案率互为补充，来反映审判效率。降低延长审限未结比，应督促法官在法律规定办案期限内努力提高办案效率，避免违反规定随意批准延长审限。</w:t>
      </w:r>
      <w:bookmarkStart w:id="51" w:name="_Toc512002133"/>
      <w:bookmarkStart w:id="52" w:name="_Toc512002203"/>
    </w:p>
    <w:p w:rsidR="00025DAE" w:rsidRPr="0018122A" w:rsidRDefault="00050986" w:rsidP="00661865">
      <w:pPr>
        <w:pStyle w:val="1"/>
        <w:ind w:firstLineChars="196" w:firstLine="630"/>
        <w:rPr>
          <w:color w:val="000000" w:themeColor="text1"/>
        </w:rPr>
      </w:pPr>
      <w:bookmarkStart w:id="53" w:name="_Toc25137270"/>
      <w:r w:rsidRPr="0018122A">
        <w:rPr>
          <w:rFonts w:hint="eastAsia"/>
          <w:color w:val="000000" w:themeColor="text1"/>
        </w:rPr>
        <w:t>六、</w:t>
      </w:r>
      <w:r w:rsidR="00D935EA">
        <w:rPr>
          <w:rFonts w:hint="eastAsia"/>
          <w:color w:val="000000" w:themeColor="text1"/>
        </w:rPr>
        <w:t>2019</w:t>
      </w:r>
      <w:r w:rsidR="00D935EA">
        <w:rPr>
          <w:rFonts w:hint="eastAsia"/>
          <w:color w:val="000000" w:themeColor="text1"/>
        </w:rPr>
        <w:t>年</w:t>
      </w:r>
      <w:r w:rsidR="00D935EA">
        <w:rPr>
          <w:rFonts w:hint="eastAsia"/>
          <w:color w:val="000000" w:themeColor="text1"/>
        </w:rPr>
        <w:t>1-</w:t>
      </w:r>
      <w:r w:rsidR="00127444">
        <w:rPr>
          <w:rFonts w:hint="eastAsia"/>
          <w:color w:val="000000" w:themeColor="text1"/>
        </w:rPr>
        <w:t>9</w:t>
      </w:r>
      <w:r w:rsidR="00D935EA">
        <w:rPr>
          <w:rFonts w:hint="eastAsia"/>
          <w:color w:val="000000" w:themeColor="text1"/>
        </w:rPr>
        <w:t>月</w:t>
      </w:r>
      <w:r w:rsidRPr="0018122A">
        <w:rPr>
          <w:rFonts w:hint="eastAsia"/>
          <w:color w:val="000000" w:themeColor="text1"/>
        </w:rPr>
        <w:t>和龙法院均衡结案情况</w:t>
      </w:r>
      <w:bookmarkEnd w:id="51"/>
      <w:bookmarkEnd w:id="52"/>
      <w:bookmarkEnd w:id="53"/>
    </w:p>
    <w:p w:rsidR="00025DAE" w:rsidRPr="0018122A" w:rsidRDefault="00050986">
      <w:pPr>
        <w:spacing w:line="300" w:lineRule="auto"/>
        <w:ind w:firstLine="573"/>
        <w:rPr>
          <w:rFonts w:ascii="仿宋" w:eastAsia="仿宋" w:hAnsi="仿宋"/>
          <w:color w:val="000000" w:themeColor="text1"/>
          <w:sz w:val="28"/>
          <w:szCs w:val="28"/>
        </w:rPr>
      </w:pPr>
      <w:r w:rsidRPr="0018122A">
        <w:rPr>
          <w:rFonts w:ascii="仿宋" w:eastAsia="仿宋" w:hAnsi="仿宋" w:hint="eastAsia"/>
          <w:color w:val="000000" w:themeColor="text1"/>
          <w:sz w:val="28"/>
          <w:szCs w:val="28"/>
        </w:rPr>
        <w:t>均衡结案情况，将采用最高</w:t>
      </w:r>
      <w:proofErr w:type="gramStart"/>
      <w:r w:rsidRPr="0018122A">
        <w:rPr>
          <w:rFonts w:ascii="仿宋" w:eastAsia="仿宋" w:hAnsi="仿宋" w:hint="eastAsia"/>
          <w:color w:val="000000" w:themeColor="text1"/>
          <w:sz w:val="28"/>
          <w:szCs w:val="28"/>
        </w:rPr>
        <w:t>院设置</w:t>
      </w:r>
      <w:proofErr w:type="gramEnd"/>
      <w:r w:rsidRPr="0018122A">
        <w:rPr>
          <w:rFonts w:ascii="仿宋" w:eastAsia="仿宋" w:hAnsi="仿宋" w:hint="eastAsia"/>
          <w:color w:val="000000" w:themeColor="text1"/>
          <w:sz w:val="28"/>
          <w:szCs w:val="28"/>
        </w:rPr>
        <w:t>的均衡结案体系中的指标和省高院审判绩效考核指标中的诉讼案件平均审理天数来进行测算。具体为：结案数波动指数、结案率波动指数、诉讼案件平均审理天数、</w:t>
      </w:r>
      <w:proofErr w:type="gramStart"/>
      <w:r w:rsidRPr="0018122A">
        <w:rPr>
          <w:rFonts w:ascii="仿宋" w:eastAsia="仿宋" w:hAnsi="仿宋" w:hint="eastAsia"/>
          <w:color w:val="000000" w:themeColor="text1"/>
          <w:sz w:val="28"/>
          <w:szCs w:val="28"/>
        </w:rPr>
        <w:t>案件结收指数</w:t>
      </w:r>
      <w:proofErr w:type="gramEnd"/>
      <w:r w:rsidRPr="0018122A">
        <w:rPr>
          <w:rFonts w:ascii="仿宋" w:eastAsia="仿宋" w:hAnsi="仿宋" w:hint="eastAsia"/>
          <w:color w:val="000000" w:themeColor="text1"/>
          <w:sz w:val="28"/>
          <w:szCs w:val="28"/>
        </w:rPr>
        <w:t>、超审限未结指数、四类案件未结指数、法定（正常）审限内结案率等八项指标。因法定（正常）审限内结案率已在前文中表述，本</w:t>
      </w:r>
      <w:proofErr w:type="gramStart"/>
      <w:r w:rsidRPr="0018122A">
        <w:rPr>
          <w:rFonts w:ascii="仿宋" w:eastAsia="仿宋" w:hAnsi="仿宋" w:hint="eastAsia"/>
          <w:color w:val="000000" w:themeColor="text1"/>
          <w:sz w:val="28"/>
          <w:szCs w:val="28"/>
        </w:rPr>
        <w:t>段不再</w:t>
      </w:r>
      <w:proofErr w:type="gramEnd"/>
      <w:r w:rsidRPr="0018122A">
        <w:rPr>
          <w:rFonts w:ascii="仿宋" w:eastAsia="仿宋" w:hAnsi="仿宋" w:hint="eastAsia"/>
          <w:color w:val="000000" w:themeColor="text1"/>
          <w:sz w:val="28"/>
          <w:szCs w:val="28"/>
        </w:rPr>
        <w:t>引用。</w:t>
      </w:r>
    </w:p>
    <w:p w:rsidR="00025DAE" w:rsidRPr="0018122A" w:rsidRDefault="00050986">
      <w:pPr>
        <w:pStyle w:val="2"/>
        <w:rPr>
          <w:rFonts w:ascii="仿宋" w:eastAsia="仿宋" w:hAnsi="仿宋"/>
          <w:color w:val="000000" w:themeColor="text1"/>
          <w:szCs w:val="28"/>
        </w:rPr>
      </w:pPr>
      <w:r w:rsidRPr="0018122A">
        <w:rPr>
          <w:rFonts w:hint="eastAsia"/>
          <w:color w:val="000000" w:themeColor="text1"/>
        </w:rPr>
        <w:t xml:space="preserve">    </w:t>
      </w:r>
      <w:bookmarkStart w:id="54" w:name="_Toc512002204"/>
      <w:bookmarkStart w:id="55" w:name="_Toc512002134"/>
      <w:bookmarkStart w:id="56" w:name="_Toc25137271"/>
      <w:r w:rsidRPr="0018122A">
        <w:rPr>
          <w:rFonts w:hint="eastAsia"/>
          <w:color w:val="000000" w:themeColor="text1"/>
        </w:rPr>
        <w:t>（一）</w:t>
      </w:r>
      <w:r w:rsidR="00D935EA">
        <w:rPr>
          <w:color w:val="000000" w:themeColor="text1"/>
        </w:rPr>
        <w:t>2019</w:t>
      </w:r>
      <w:r w:rsidR="00D935EA">
        <w:rPr>
          <w:color w:val="000000" w:themeColor="text1"/>
        </w:rPr>
        <w:t>年</w:t>
      </w:r>
      <w:r w:rsidR="00D935EA">
        <w:rPr>
          <w:color w:val="000000" w:themeColor="text1"/>
        </w:rPr>
        <w:t>1-</w:t>
      </w:r>
      <w:r w:rsidR="00127444">
        <w:rPr>
          <w:rFonts w:hint="eastAsia"/>
          <w:color w:val="000000" w:themeColor="text1"/>
        </w:rPr>
        <w:t>9</w:t>
      </w:r>
      <w:r w:rsidR="00D935EA">
        <w:rPr>
          <w:color w:val="000000" w:themeColor="text1"/>
        </w:rPr>
        <w:t>月</w:t>
      </w:r>
      <w:r w:rsidRPr="0018122A">
        <w:rPr>
          <w:rFonts w:hint="eastAsia"/>
          <w:color w:val="000000" w:themeColor="text1"/>
        </w:rPr>
        <w:t>和龙法院结案数波动指数情况</w:t>
      </w:r>
      <w:bookmarkEnd w:id="54"/>
      <w:bookmarkEnd w:id="55"/>
      <w:bookmarkEnd w:id="56"/>
    </w:p>
    <w:p w:rsidR="00025DAE" w:rsidRPr="0018122A" w:rsidRDefault="00D935EA">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2019年1-</w:t>
      </w:r>
      <w:r w:rsidR="00127444">
        <w:rPr>
          <w:rFonts w:ascii="仿宋" w:eastAsia="仿宋" w:hAnsi="仿宋" w:hint="eastAsia"/>
          <w:color w:val="000000" w:themeColor="text1"/>
          <w:sz w:val="28"/>
          <w:szCs w:val="28"/>
        </w:rPr>
        <w:t>9</w:t>
      </w:r>
      <w:r>
        <w:rPr>
          <w:rFonts w:ascii="仿宋" w:eastAsia="仿宋" w:hAnsi="仿宋" w:hint="eastAsia"/>
          <w:color w:val="000000" w:themeColor="text1"/>
          <w:sz w:val="28"/>
          <w:szCs w:val="28"/>
        </w:rPr>
        <w:t>月</w:t>
      </w:r>
      <w:r w:rsidR="00050986" w:rsidRPr="0018122A">
        <w:rPr>
          <w:rFonts w:ascii="仿宋" w:eastAsia="仿宋" w:hAnsi="仿宋" w:hint="eastAsia"/>
          <w:color w:val="000000" w:themeColor="text1"/>
          <w:sz w:val="28"/>
          <w:szCs w:val="28"/>
        </w:rPr>
        <w:t>和龙法院结案数波动指数</w:t>
      </w:r>
      <w:r w:rsidR="007C1A2D">
        <w:rPr>
          <w:rFonts w:ascii="仿宋" w:eastAsia="仿宋" w:hAnsi="仿宋" w:hint="eastAsia"/>
          <w:color w:val="000000" w:themeColor="text1"/>
          <w:sz w:val="28"/>
          <w:szCs w:val="28"/>
        </w:rPr>
        <w:t>0.7</w:t>
      </w:r>
      <w:r w:rsidR="008F2D96">
        <w:rPr>
          <w:rFonts w:ascii="仿宋" w:eastAsia="仿宋" w:hAnsi="仿宋" w:hint="eastAsia"/>
          <w:color w:val="000000" w:themeColor="text1"/>
          <w:sz w:val="28"/>
          <w:szCs w:val="28"/>
        </w:rPr>
        <w:t>5</w:t>
      </w:r>
      <w:r w:rsidR="00050986" w:rsidRPr="0018122A">
        <w:rPr>
          <w:rFonts w:ascii="仿宋" w:eastAsia="仿宋" w:hAnsi="仿宋" w:hint="eastAsia"/>
          <w:color w:val="000000" w:themeColor="text1"/>
          <w:sz w:val="28"/>
          <w:szCs w:val="28"/>
        </w:rPr>
        <w:t>。结案数波动指数是各月结案数量波动情况指标，用以考察各月结案量是否均衡。指标的目的是保证法院各月工作量差别不大，避免忙闲不均，年初不着急、年底搞突击等问题。该指标进行了修正，已经全部采用最高院的指标公式计算。</w:t>
      </w:r>
    </w:p>
    <w:p w:rsidR="00025DAE" w:rsidRPr="0018122A" w:rsidRDefault="00050986">
      <w:pPr>
        <w:pStyle w:val="2"/>
        <w:rPr>
          <w:rFonts w:hint="eastAsia"/>
          <w:color w:val="000000" w:themeColor="text1"/>
        </w:rPr>
      </w:pPr>
      <w:r w:rsidRPr="0018122A">
        <w:rPr>
          <w:rFonts w:hint="eastAsia"/>
          <w:color w:val="000000" w:themeColor="text1"/>
        </w:rPr>
        <w:t xml:space="preserve">    </w:t>
      </w:r>
      <w:bookmarkStart w:id="57" w:name="_Toc512002135"/>
      <w:bookmarkStart w:id="58" w:name="_Toc512002205"/>
      <w:bookmarkStart w:id="59" w:name="_Toc25137272"/>
      <w:r w:rsidRPr="0018122A">
        <w:rPr>
          <w:rFonts w:hint="eastAsia"/>
          <w:color w:val="000000" w:themeColor="text1"/>
        </w:rPr>
        <w:t>（二）</w:t>
      </w:r>
      <w:r w:rsidR="00D935EA">
        <w:rPr>
          <w:color w:val="000000" w:themeColor="text1"/>
        </w:rPr>
        <w:t>2019</w:t>
      </w:r>
      <w:r w:rsidR="00D935EA">
        <w:rPr>
          <w:color w:val="000000" w:themeColor="text1"/>
        </w:rPr>
        <w:t>年</w:t>
      </w:r>
      <w:r w:rsidR="00D935EA">
        <w:rPr>
          <w:color w:val="000000" w:themeColor="text1"/>
        </w:rPr>
        <w:t>1-</w:t>
      </w:r>
      <w:r w:rsidR="00127444">
        <w:rPr>
          <w:rFonts w:hint="eastAsia"/>
          <w:color w:val="000000" w:themeColor="text1"/>
        </w:rPr>
        <w:t>9</w:t>
      </w:r>
      <w:r w:rsidR="00D935EA">
        <w:rPr>
          <w:color w:val="000000" w:themeColor="text1"/>
        </w:rPr>
        <w:t>月</w:t>
      </w:r>
      <w:r w:rsidRPr="0018122A">
        <w:rPr>
          <w:rFonts w:hint="eastAsia"/>
          <w:color w:val="000000" w:themeColor="text1"/>
        </w:rPr>
        <w:t>和龙法院结案率波动指数情况</w:t>
      </w:r>
      <w:bookmarkEnd w:id="57"/>
      <w:bookmarkEnd w:id="58"/>
      <w:bookmarkEnd w:id="59"/>
    </w:p>
    <w:p w:rsidR="00025DAE" w:rsidRPr="0018122A" w:rsidRDefault="00D935EA" w:rsidP="008D3E52">
      <w:pPr>
        <w:spacing w:line="300" w:lineRule="auto"/>
        <w:ind w:firstLine="601"/>
        <w:rPr>
          <w:rFonts w:ascii="仿宋" w:eastAsia="仿宋" w:hAnsi="仿宋"/>
          <w:color w:val="000000" w:themeColor="text1"/>
          <w:sz w:val="28"/>
          <w:szCs w:val="28"/>
        </w:rPr>
      </w:pPr>
      <w:r>
        <w:rPr>
          <w:rFonts w:ascii="仿宋" w:eastAsia="仿宋" w:hAnsi="仿宋" w:hint="eastAsia"/>
          <w:color w:val="000000" w:themeColor="text1"/>
          <w:sz w:val="28"/>
          <w:szCs w:val="28"/>
        </w:rPr>
        <w:t>2019年1-</w:t>
      </w:r>
      <w:r w:rsidR="00127444">
        <w:rPr>
          <w:rFonts w:ascii="仿宋" w:eastAsia="仿宋" w:hAnsi="仿宋" w:hint="eastAsia"/>
          <w:color w:val="000000" w:themeColor="text1"/>
          <w:sz w:val="28"/>
          <w:szCs w:val="28"/>
        </w:rPr>
        <w:t>9</w:t>
      </w:r>
      <w:r>
        <w:rPr>
          <w:rFonts w:ascii="仿宋" w:eastAsia="仿宋" w:hAnsi="仿宋" w:hint="eastAsia"/>
          <w:color w:val="000000" w:themeColor="text1"/>
          <w:sz w:val="28"/>
          <w:szCs w:val="28"/>
        </w:rPr>
        <w:t>月</w:t>
      </w:r>
      <w:r w:rsidR="00050986" w:rsidRPr="0018122A">
        <w:rPr>
          <w:rFonts w:ascii="仿宋" w:eastAsia="仿宋" w:hAnsi="仿宋" w:hint="eastAsia"/>
          <w:color w:val="000000" w:themeColor="text1"/>
          <w:sz w:val="28"/>
          <w:szCs w:val="28"/>
        </w:rPr>
        <w:t>，和龙法院结案率波动指数0</w:t>
      </w:r>
      <w:r w:rsidR="00CB6CE9" w:rsidRPr="0018122A">
        <w:rPr>
          <w:rFonts w:ascii="仿宋" w:eastAsia="仿宋" w:hAnsi="仿宋" w:hint="eastAsia"/>
          <w:color w:val="000000" w:themeColor="text1"/>
          <w:sz w:val="28"/>
          <w:szCs w:val="28"/>
        </w:rPr>
        <w:t>.</w:t>
      </w:r>
      <w:r w:rsidR="008D3E52">
        <w:rPr>
          <w:rFonts w:ascii="仿宋" w:eastAsia="仿宋" w:hAnsi="仿宋" w:hint="eastAsia"/>
          <w:color w:val="000000" w:themeColor="text1"/>
          <w:sz w:val="28"/>
          <w:szCs w:val="28"/>
        </w:rPr>
        <w:t>8</w:t>
      </w:r>
      <w:r w:rsidR="00127444">
        <w:rPr>
          <w:rFonts w:ascii="仿宋" w:eastAsia="仿宋" w:hAnsi="仿宋" w:hint="eastAsia"/>
          <w:color w:val="000000" w:themeColor="text1"/>
          <w:sz w:val="28"/>
          <w:szCs w:val="28"/>
        </w:rPr>
        <w:t>2</w:t>
      </w:r>
      <w:r w:rsidR="00050986" w:rsidRPr="0018122A">
        <w:rPr>
          <w:rFonts w:ascii="仿宋" w:eastAsia="仿宋" w:hAnsi="仿宋" w:hint="eastAsia"/>
          <w:color w:val="000000" w:themeColor="text1"/>
          <w:sz w:val="28"/>
          <w:szCs w:val="28"/>
        </w:rPr>
        <w:t>。结案率波动指数是各月结案率波动情况指标，用以考察各月结案、收案、存案的相对稳定性。指标的目的是保证各月的结案量和收案量基本一致，要求法官在收案、存案量多的时候多办案，保持结案、收案、存案的相对稳定。</w:t>
      </w:r>
    </w:p>
    <w:p w:rsidR="00025DAE" w:rsidRPr="0018122A" w:rsidRDefault="00050986">
      <w:pPr>
        <w:pStyle w:val="2"/>
        <w:rPr>
          <w:rFonts w:hint="eastAsia"/>
          <w:color w:val="000000" w:themeColor="text1"/>
        </w:rPr>
      </w:pPr>
      <w:r w:rsidRPr="0018122A">
        <w:rPr>
          <w:rFonts w:hint="eastAsia"/>
          <w:color w:val="000000" w:themeColor="text1"/>
        </w:rPr>
        <w:t xml:space="preserve">    </w:t>
      </w:r>
      <w:bookmarkStart w:id="60" w:name="_Toc512002207"/>
      <w:bookmarkStart w:id="61" w:name="_Toc512002137"/>
      <w:bookmarkStart w:id="62" w:name="_Toc25137273"/>
      <w:r w:rsidRPr="0018122A">
        <w:rPr>
          <w:rFonts w:hint="eastAsia"/>
          <w:color w:val="000000" w:themeColor="text1"/>
        </w:rPr>
        <w:t>（</w:t>
      </w:r>
      <w:r w:rsidR="00C64016">
        <w:rPr>
          <w:rFonts w:hint="eastAsia"/>
          <w:color w:val="000000" w:themeColor="text1"/>
        </w:rPr>
        <w:t>三</w:t>
      </w:r>
      <w:r w:rsidRPr="0018122A">
        <w:rPr>
          <w:rFonts w:hint="eastAsia"/>
          <w:color w:val="000000" w:themeColor="text1"/>
        </w:rPr>
        <w:t>）</w:t>
      </w:r>
      <w:r w:rsidR="00D935EA">
        <w:rPr>
          <w:color w:val="000000" w:themeColor="text1"/>
        </w:rPr>
        <w:t>2019</w:t>
      </w:r>
      <w:r w:rsidR="00D935EA">
        <w:rPr>
          <w:color w:val="000000" w:themeColor="text1"/>
        </w:rPr>
        <w:t>年</w:t>
      </w:r>
      <w:r w:rsidR="00D935EA">
        <w:rPr>
          <w:color w:val="000000" w:themeColor="text1"/>
        </w:rPr>
        <w:t>1-</w:t>
      </w:r>
      <w:r w:rsidR="00127444">
        <w:rPr>
          <w:rFonts w:hint="eastAsia"/>
          <w:color w:val="000000" w:themeColor="text1"/>
        </w:rPr>
        <w:t>9</w:t>
      </w:r>
      <w:r w:rsidR="00D935EA">
        <w:rPr>
          <w:color w:val="000000" w:themeColor="text1"/>
        </w:rPr>
        <w:t>月</w:t>
      </w:r>
      <w:r w:rsidRPr="0018122A">
        <w:rPr>
          <w:rFonts w:hint="eastAsia"/>
          <w:color w:val="000000" w:themeColor="text1"/>
        </w:rPr>
        <w:t>和龙法院案件</w:t>
      </w:r>
      <w:proofErr w:type="gramStart"/>
      <w:r w:rsidRPr="0018122A">
        <w:rPr>
          <w:rFonts w:hint="eastAsia"/>
          <w:color w:val="000000" w:themeColor="text1"/>
        </w:rPr>
        <w:t>结收指数</w:t>
      </w:r>
      <w:proofErr w:type="gramEnd"/>
      <w:r w:rsidRPr="0018122A">
        <w:rPr>
          <w:rFonts w:hint="eastAsia"/>
          <w:color w:val="000000" w:themeColor="text1"/>
        </w:rPr>
        <w:t>情况</w:t>
      </w:r>
      <w:bookmarkEnd w:id="60"/>
      <w:bookmarkEnd w:id="61"/>
      <w:bookmarkEnd w:id="62"/>
    </w:p>
    <w:p w:rsidR="00025DAE" w:rsidRPr="0018122A" w:rsidRDefault="00D935EA">
      <w:pPr>
        <w:spacing w:line="360" w:lineRule="auto"/>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2019年1-</w:t>
      </w:r>
      <w:r w:rsidR="00127444">
        <w:rPr>
          <w:rFonts w:ascii="仿宋" w:eastAsia="仿宋" w:hAnsi="仿宋" w:hint="eastAsia"/>
          <w:color w:val="000000" w:themeColor="text1"/>
          <w:sz w:val="28"/>
          <w:szCs w:val="28"/>
        </w:rPr>
        <w:t>9</w:t>
      </w:r>
      <w:r>
        <w:rPr>
          <w:rFonts w:ascii="仿宋" w:eastAsia="仿宋" w:hAnsi="仿宋" w:hint="eastAsia"/>
          <w:color w:val="000000" w:themeColor="text1"/>
          <w:sz w:val="28"/>
          <w:szCs w:val="28"/>
        </w:rPr>
        <w:t>月</w:t>
      </w:r>
      <w:r w:rsidR="00050986" w:rsidRPr="0018122A">
        <w:rPr>
          <w:rFonts w:ascii="仿宋" w:eastAsia="仿宋" w:hAnsi="仿宋" w:hint="eastAsia"/>
          <w:color w:val="000000" w:themeColor="text1"/>
          <w:sz w:val="28"/>
          <w:szCs w:val="28"/>
        </w:rPr>
        <w:t>，和龙法院案件</w:t>
      </w:r>
      <w:proofErr w:type="gramStart"/>
      <w:r w:rsidR="00050986" w:rsidRPr="0018122A">
        <w:rPr>
          <w:rFonts w:ascii="仿宋" w:eastAsia="仿宋" w:hAnsi="仿宋" w:hint="eastAsia"/>
          <w:color w:val="000000" w:themeColor="text1"/>
          <w:sz w:val="28"/>
          <w:szCs w:val="28"/>
        </w:rPr>
        <w:t>结收指数</w:t>
      </w:r>
      <w:proofErr w:type="gramEnd"/>
      <w:r w:rsidR="00050986" w:rsidRPr="0018122A">
        <w:rPr>
          <w:rFonts w:ascii="仿宋" w:eastAsia="仿宋" w:hAnsi="仿宋" w:hint="eastAsia"/>
          <w:color w:val="000000" w:themeColor="text1"/>
          <w:sz w:val="28"/>
          <w:szCs w:val="28"/>
        </w:rPr>
        <w:t>为：</w:t>
      </w:r>
      <w:r w:rsidR="00F04BD4">
        <w:rPr>
          <w:rFonts w:ascii="仿宋" w:eastAsia="仿宋" w:hAnsi="仿宋" w:hint="eastAsia"/>
          <w:color w:val="000000" w:themeColor="text1"/>
          <w:sz w:val="28"/>
          <w:szCs w:val="28"/>
        </w:rPr>
        <w:t>0.</w:t>
      </w:r>
      <w:r w:rsidR="007A4D9E">
        <w:rPr>
          <w:rFonts w:ascii="仿宋" w:eastAsia="仿宋" w:hAnsi="仿宋" w:hint="eastAsia"/>
          <w:color w:val="000000" w:themeColor="text1"/>
          <w:sz w:val="28"/>
          <w:szCs w:val="28"/>
        </w:rPr>
        <w:t>8</w:t>
      </w:r>
      <w:r w:rsidR="00127444">
        <w:rPr>
          <w:rFonts w:ascii="仿宋" w:eastAsia="仿宋" w:hAnsi="仿宋" w:hint="eastAsia"/>
          <w:color w:val="000000" w:themeColor="text1"/>
          <w:sz w:val="28"/>
          <w:szCs w:val="28"/>
        </w:rPr>
        <w:t>2</w:t>
      </w:r>
      <w:r w:rsidR="00050986" w:rsidRPr="0018122A">
        <w:rPr>
          <w:rFonts w:ascii="仿宋" w:eastAsia="仿宋" w:hAnsi="仿宋" w:hint="eastAsia"/>
          <w:color w:val="000000" w:themeColor="text1"/>
          <w:sz w:val="28"/>
          <w:szCs w:val="28"/>
        </w:rPr>
        <w:t>，案件</w:t>
      </w:r>
      <w:proofErr w:type="gramStart"/>
      <w:r w:rsidR="00050986" w:rsidRPr="0018122A">
        <w:rPr>
          <w:rFonts w:ascii="仿宋" w:eastAsia="仿宋" w:hAnsi="仿宋" w:hint="eastAsia"/>
          <w:color w:val="000000" w:themeColor="text1"/>
          <w:sz w:val="28"/>
          <w:szCs w:val="28"/>
        </w:rPr>
        <w:t>结收指数</w:t>
      </w:r>
      <w:proofErr w:type="gramEnd"/>
      <w:r w:rsidR="00050986" w:rsidRPr="0018122A">
        <w:rPr>
          <w:rFonts w:ascii="仿宋" w:eastAsia="仿宋" w:hAnsi="仿宋" w:hint="eastAsia"/>
          <w:color w:val="000000" w:themeColor="text1"/>
          <w:sz w:val="28"/>
          <w:szCs w:val="28"/>
        </w:rPr>
        <w:t>是</w:t>
      </w:r>
      <w:proofErr w:type="gramStart"/>
      <w:r w:rsidR="00050986" w:rsidRPr="0018122A">
        <w:rPr>
          <w:rFonts w:ascii="仿宋" w:eastAsia="仿宋" w:hAnsi="仿宋" w:hint="eastAsia"/>
          <w:color w:val="000000" w:themeColor="text1"/>
          <w:sz w:val="28"/>
          <w:szCs w:val="28"/>
        </w:rPr>
        <w:t>案件结收比</w:t>
      </w:r>
      <w:proofErr w:type="gramEnd"/>
      <w:r w:rsidR="00050986" w:rsidRPr="0018122A">
        <w:rPr>
          <w:rFonts w:ascii="仿宋" w:eastAsia="仿宋" w:hAnsi="仿宋" w:hint="eastAsia"/>
          <w:color w:val="000000" w:themeColor="text1"/>
          <w:sz w:val="28"/>
          <w:szCs w:val="28"/>
        </w:rPr>
        <w:t>指数化指标，通过各月</w:t>
      </w:r>
      <w:proofErr w:type="gramStart"/>
      <w:r w:rsidR="00050986" w:rsidRPr="0018122A">
        <w:rPr>
          <w:rFonts w:ascii="仿宋" w:eastAsia="仿宋" w:hAnsi="仿宋" w:hint="eastAsia"/>
          <w:color w:val="000000" w:themeColor="text1"/>
          <w:sz w:val="28"/>
          <w:szCs w:val="28"/>
        </w:rPr>
        <w:t>案件结收比</w:t>
      </w:r>
      <w:proofErr w:type="gramEnd"/>
      <w:r w:rsidR="00050986" w:rsidRPr="0018122A">
        <w:rPr>
          <w:rFonts w:ascii="仿宋" w:eastAsia="仿宋" w:hAnsi="仿宋" w:hint="eastAsia"/>
          <w:color w:val="000000" w:themeColor="text1"/>
          <w:sz w:val="28"/>
          <w:szCs w:val="28"/>
        </w:rPr>
        <w:t>的加权数，用以考察各月结案与收案是否动态均衡。</w:t>
      </w:r>
    </w:p>
    <w:p w:rsidR="00025DAE" w:rsidRPr="0018122A" w:rsidRDefault="00050986">
      <w:pPr>
        <w:pStyle w:val="2"/>
        <w:rPr>
          <w:rFonts w:hint="eastAsia"/>
          <w:color w:val="000000" w:themeColor="text1"/>
        </w:rPr>
      </w:pPr>
      <w:r w:rsidRPr="0018122A">
        <w:rPr>
          <w:rFonts w:hint="eastAsia"/>
          <w:color w:val="000000" w:themeColor="text1"/>
        </w:rPr>
        <w:t xml:space="preserve">    </w:t>
      </w:r>
      <w:bookmarkStart w:id="63" w:name="_Toc512002208"/>
      <w:bookmarkStart w:id="64" w:name="_Toc512002138"/>
      <w:bookmarkStart w:id="65" w:name="_Toc25137274"/>
      <w:r w:rsidRPr="0018122A">
        <w:rPr>
          <w:rFonts w:hint="eastAsia"/>
          <w:color w:val="000000" w:themeColor="text1"/>
        </w:rPr>
        <w:t>（</w:t>
      </w:r>
      <w:r w:rsidR="00C64016">
        <w:rPr>
          <w:rFonts w:hint="eastAsia"/>
          <w:color w:val="000000" w:themeColor="text1"/>
        </w:rPr>
        <w:t>四</w:t>
      </w:r>
      <w:r w:rsidRPr="0018122A">
        <w:rPr>
          <w:rFonts w:hint="eastAsia"/>
          <w:color w:val="000000" w:themeColor="text1"/>
        </w:rPr>
        <w:t>）</w:t>
      </w:r>
      <w:r w:rsidR="00D935EA">
        <w:rPr>
          <w:rFonts w:hint="eastAsia"/>
          <w:color w:val="000000" w:themeColor="text1"/>
        </w:rPr>
        <w:t>2019</w:t>
      </w:r>
      <w:r w:rsidR="00D935EA">
        <w:rPr>
          <w:rFonts w:hint="eastAsia"/>
          <w:color w:val="000000" w:themeColor="text1"/>
        </w:rPr>
        <w:t>年</w:t>
      </w:r>
      <w:r w:rsidR="00D935EA">
        <w:rPr>
          <w:rFonts w:hint="eastAsia"/>
          <w:color w:val="000000" w:themeColor="text1"/>
        </w:rPr>
        <w:t>1-</w:t>
      </w:r>
      <w:r w:rsidR="00127444">
        <w:rPr>
          <w:rFonts w:hint="eastAsia"/>
          <w:color w:val="000000" w:themeColor="text1"/>
        </w:rPr>
        <w:t>9</w:t>
      </w:r>
      <w:r w:rsidR="00D935EA">
        <w:rPr>
          <w:rFonts w:hint="eastAsia"/>
          <w:color w:val="000000" w:themeColor="text1"/>
        </w:rPr>
        <w:t>月</w:t>
      </w:r>
      <w:r w:rsidRPr="0018122A">
        <w:rPr>
          <w:rFonts w:hint="eastAsia"/>
          <w:color w:val="000000" w:themeColor="text1"/>
        </w:rPr>
        <w:t>和龙</w:t>
      </w:r>
      <w:proofErr w:type="gramStart"/>
      <w:r w:rsidRPr="0018122A">
        <w:rPr>
          <w:rFonts w:hint="eastAsia"/>
          <w:color w:val="000000" w:themeColor="text1"/>
        </w:rPr>
        <w:t>法院超</w:t>
      </w:r>
      <w:proofErr w:type="gramEnd"/>
      <w:r w:rsidRPr="0018122A">
        <w:rPr>
          <w:rFonts w:hint="eastAsia"/>
          <w:color w:val="000000" w:themeColor="text1"/>
        </w:rPr>
        <w:t>审限未结指数情况</w:t>
      </w:r>
      <w:bookmarkEnd w:id="63"/>
      <w:bookmarkEnd w:id="64"/>
      <w:bookmarkEnd w:id="65"/>
    </w:p>
    <w:p w:rsidR="00025DAE" w:rsidRPr="0018122A" w:rsidRDefault="00D935EA">
      <w:pPr>
        <w:spacing w:line="480" w:lineRule="auto"/>
        <w:ind w:firstLine="601"/>
        <w:rPr>
          <w:rFonts w:ascii="仿宋" w:eastAsia="仿宋" w:hAnsi="仿宋"/>
          <w:color w:val="000000" w:themeColor="text1"/>
          <w:sz w:val="28"/>
          <w:szCs w:val="28"/>
        </w:rPr>
      </w:pPr>
      <w:r>
        <w:rPr>
          <w:rFonts w:ascii="仿宋" w:eastAsia="仿宋" w:hAnsi="仿宋" w:hint="eastAsia"/>
          <w:color w:val="000000" w:themeColor="text1"/>
          <w:sz w:val="28"/>
          <w:szCs w:val="28"/>
        </w:rPr>
        <w:t>2019年1-</w:t>
      </w:r>
      <w:r w:rsidR="00127444">
        <w:rPr>
          <w:rFonts w:ascii="仿宋" w:eastAsia="仿宋" w:hAnsi="仿宋" w:hint="eastAsia"/>
          <w:color w:val="000000" w:themeColor="text1"/>
          <w:sz w:val="28"/>
          <w:szCs w:val="28"/>
        </w:rPr>
        <w:t>9</w:t>
      </w:r>
      <w:r>
        <w:rPr>
          <w:rFonts w:ascii="仿宋" w:eastAsia="仿宋" w:hAnsi="仿宋" w:hint="eastAsia"/>
          <w:color w:val="000000" w:themeColor="text1"/>
          <w:sz w:val="28"/>
          <w:szCs w:val="28"/>
        </w:rPr>
        <w:t>月</w:t>
      </w:r>
      <w:r w:rsidR="00050986" w:rsidRPr="0018122A">
        <w:rPr>
          <w:rFonts w:ascii="仿宋" w:eastAsia="仿宋" w:hAnsi="仿宋" w:hint="eastAsia"/>
          <w:color w:val="000000" w:themeColor="text1"/>
          <w:sz w:val="28"/>
          <w:szCs w:val="28"/>
        </w:rPr>
        <w:t>，和龙</w:t>
      </w:r>
      <w:proofErr w:type="gramStart"/>
      <w:r w:rsidR="00050986" w:rsidRPr="0018122A">
        <w:rPr>
          <w:rFonts w:ascii="仿宋" w:eastAsia="仿宋" w:hAnsi="仿宋" w:hint="eastAsia"/>
          <w:color w:val="000000" w:themeColor="text1"/>
          <w:sz w:val="28"/>
          <w:szCs w:val="28"/>
        </w:rPr>
        <w:t>法院超</w:t>
      </w:r>
      <w:proofErr w:type="gramEnd"/>
      <w:r w:rsidR="00050986" w:rsidRPr="0018122A">
        <w:rPr>
          <w:rFonts w:ascii="仿宋" w:eastAsia="仿宋" w:hAnsi="仿宋" w:hint="eastAsia"/>
          <w:color w:val="000000" w:themeColor="text1"/>
          <w:sz w:val="28"/>
          <w:szCs w:val="28"/>
        </w:rPr>
        <w:t>审限未结指数为：0.00。</w:t>
      </w:r>
    </w:p>
    <w:p w:rsidR="00025DAE" w:rsidRPr="0018122A" w:rsidRDefault="00050986">
      <w:pPr>
        <w:pStyle w:val="2"/>
        <w:rPr>
          <w:rFonts w:hint="eastAsia"/>
          <w:color w:val="000000" w:themeColor="text1"/>
        </w:rPr>
      </w:pPr>
      <w:r w:rsidRPr="0018122A">
        <w:rPr>
          <w:rFonts w:hint="eastAsia"/>
          <w:color w:val="000000" w:themeColor="text1"/>
        </w:rPr>
        <w:t xml:space="preserve">    </w:t>
      </w:r>
      <w:bookmarkStart w:id="66" w:name="_Toc512002209"/>
      <w:bookmarkStart w:id="67" w:name="_Toc512002139"/>
      <w:bookmarkStart w:id="68" w:name="_Toc25137275"/>
      <w:r w:rsidRPr="0018122A">
        <w:rPr>
          <w:rFonts w:hint="eastAsia"/>
          <w:color w:val="000000" w:themeColor="text1"/>
        </w:rPr>
        <w:t>（</w:t>
      </w:r>
      <w:r w:rsidR="00C64016">
        <w:rPr>
          <w:rFonts w:hint="eastAsia"/>
          <w:color w:val="000000" w:themeColor="text1"/>
        </w:rPr>
        <w:t>五</w:t>
      </w:r>
      <w:r w:rsidRPr="0018122A">
        <w:rPr>
          <w:rFonts w:hint="eastAsia"/>
          <w:color w:val="000000" w:themeColor="text1"/>
        </w:rPr>
        <w:t>）</w:t>
      </w:r>
      <w:r w:rsidR="00D935EA">
        <w:rPr>
          <w:rFonts w:hint="eastAsia"/>
          <w:color w:val="000000" w:themeColor="text1"/>
        </w:rPr>
        <w:t>2019</w:t>
      </w:r>
      <w:r w:rsidR="00D935EA">
        <w:rPr>
          <w:rFonts w:hint="eastAsia"/>
          <w:color w:val="000000" w:themeColor="text1"/>
        </w:rPr>
        <w:t>年</w:t>
      </w:r>
      <w:r w:rsidR="00D935EA">
        <w:rPr>
          <w:rFonts w:hint="eastAsia"/>
          <w:color w:val="000000" w:themeColor="text1"/>
        </w:rPr>
        <w:t>1-</w:t>
      </w:r>
      <w:r w:rsidR="00723D42">
        <w:rPr>
          <w:rFonts w:hint="eastAsia"/>
          <w:color w:val="000000" w:themeColor="text1"/>
        </w:rPr>
        <w:t>9</w:t>
      </w:r>
      <w:r w:rsidR="00D935EA">
        <w:rPr>
          <w:rFonts w:hint="eastAsia"/>
          <w:color w:val="000000" w:themeColor="text1"/>
        </w:rPr>
        <w:t>月</w:t>
      </w:r>
      <w:r w:rsidRPr="0018122A">
        <w:rPr>
          <w:rFonts w:hint="eastAsia"/>
          <w:color w:val="000000" w:themeColor="text1"/>
        </w:rPr>
        <w:t>和龙法院四类案件未结指数情况</w:t>
      </w:r>
      <w:bookmarkEnd w:id="66"/>
      <w:bookmarkEnd w:id="67"/>
      <w:bookmarkEnd w:id="68"/>
    </w:p>
    <w:p w:rsidR="00025DAE" w:rsidRPr="0018122A" w:rsidRDefault="00D935EA">
      <w:pPr>
        <w:ind w:firstLine="573"/>
        <w:rPr>
          <w:rFonts w:ascii="仿宋" w:eastAsia="仿宋" w:hAnsi="仿宋"/>
          <w:color w:val="000000" w:themeColor="text1"/>
          <w:sz w:val="28"/>
          <w:szCs w:val="28"/>
        </w:rPr>
      </w:pPr>
      <w:r>
        <w:rPr>
          <w:rFonts w:ascii="仿宋" w:eastAsia="仿宋" w:hAnsi="仿宋" w:hint="eastAsia"/>
          <w:color w:val="000000" w:themeColor="text1"/>
          <w:sz w:val="28"/>
          <w:szCs w:val="28"/>
        </w:rPr>
        <w:t>2019年1-</w:t>
      </w:r>
      <w:r w:rsidR="00723D42">
        <w:rPr>
          <w:rFonts w:ascii="仿宋" w:eastAsia="仿宋" w:hAnsi="仿宋" w:hint="eastAsia"/>
          <w:color w:val="000000" w:themeColor="text1"/>
          <w:sz w:val="28"/>
          <w:szCs w:val="28"/>
        </w:rPr>
        <w:t>9</w:t>
      </w:r>
      <w:r>
        <w:rPr>
          <w:rFonts w:ascii="仿宋" w:eastAsia="仿宋" w:hAnsi="仿宋" w:hint="eastAsia"/>
          <w:color w:val="000000" w:themeColor="text1"/>
          <w:sz w:val="28"/>
          <w:szCs w:val="28"/>
        </w:rPr>
        <w:t>月</w:t>
      </w:r>
      <w:r w:rsidR="00050986" w:rsidRPr="0018122A">
        <w:rPr>
          <w:rFonts w:ascii="仿宋" w:eastAsia="仿宋" w:hAnsi="仿宋" w:hint="eastAsia"/>
          <w:color w:val="000000" w:themeColor="text1"/>
          <w:sz w:val="28"/>
          <w:szCs w:val="28"/>
        </w:rPr>
        <w:t>和龙法院四类案件未结指数为：0</w:t>
      </w:r>
      <w:r w:rsidR="008A031C">
        <w:rPr>
          <w:rFonts w:ascii="仿宋" w:eastAsia="仿宋" w:hAnsi="仿宋" w:hint="eastAsia"/>
          <w:color w:val="000000" w:themeColor="text1"/>
          <w:sz w:val="28"/>
          <w:szCs w:val="28"/>
        </w:rPr>
        <w:t>.3</w:t>
      </w:r>
      <w:r w:rsidR="00127444">
        <w:rPr>
          <w:rFonts w:ascii="仿宋" w:eastAsia="仿宋" w:hAnsi="仿宋" w:hint="eastAsia"/>
          <w:color w:val="000000" w:themeColor="text1"/>
          <w:sz w:val="28"/>
          <w:szCs w:val="28"/>
        </w:rPr>
        <w:t>0</w:t>
      </w:r>
      <w:r w:rsidR="00050986" w:rsidRPr="0018122A">
        <w:rPr>
          <w:rFonts w:ascii="仿宋" w:eastAsia="仿宋" w:hAnsi="仿宋" w:hint="eastAsia"/>
          <w:color w:val="000000" w:themeColor="text1"/>
          <w:sz w:val="28"/>
          <w:szCs w:val="28"/>
        </w:rPr>
        <w:t>，四类案件未结指数是未结案件中，批准延长审限、中止审限、扣除审限、简易程序转普通程序案件这四类案件占全部未结案件的比值，用以避免“隐性”超审</w:t>
      </w:r>
      <w:proofErr w:type="gramStart"/>
      <w:r w:rsidR="00050986" w:rsidRPr="0018122A">
        <w:rPr>
          <w:rFonts w:ascii="仿宋" w:eastAsia="仿宋" w:hAnsi="仿宋" w:hint="eastAsia"/>
          <w:color w:val="000000" w:themeColor="text1"/>
          <w:sz w:val="28"/>
          <w:szCs w:val="28"/>
        </w:rPr>
        <w:t>限情况</w:t>
      </w:r>
      <w:proofErr w:type="gramEnd"/>
      <w:r w:rsidR="00050986" w:rsidRPr="0018122A">
        <w:rPr>
          <w:rFonts w:ascii="仿宋" w:eastAsia="仿宋" w:hAnsi="仿宋" w:hint="eastAsia"/>
          <w:color w:val="000000" w:themeColor="text1"/>
          <w:sz w:val="28"/>
          <w:szCs w:val="28"/>
        </w:rPr>
        <w:t>的发生。</w:t>
      </w:r>
    </w:p>
    <w:p w:rsidR="00025DAE" w:rsidRPr="0018122A" w:rsidRDefault="00050986">
      <w:pPr>
        <w:pStyle w:val="2"/>
        <w:rPr>
          <w:rFonts w:hint="eastAsia"/>
          <w:color w:val="000000" w:themeColor="text1"/>
        </w:rPr>
      </w:pPr>
      <w:r w:rsidRPr="0018122A">
        <w:rPr>
          <w:rFonts w:hint="eastAsia"/>
          <w:color w:val="000000" w:themeColor="text1"/>
        </w:rPr>
        <w:t xml:space="preserve">    </w:t>
      </w:r>
      <w:bookmarkStart w:id="69" w:name="_Toc512002212"/>
      <w:bookmarkStart w:id="70" w:name="_Toc512002142"/>
      <w:bookmarkStart w:id="71" w:name="_Toc25137276"/>
      <w:r w:rsidRPr="0014192B">
        <w:rPr>
          <w:rFonts w:hint="eastAsia"/>
          <w:color w:val="000000" w:themeColor="text1"/>
        </w:rPr>
        <w:t>（</w:t>
      </w:r>
      <w:r w:rsidR="00C64016">
        <w:rPr>
          <w:rFonts w:hint="eastAsia"/>
          <w:color w:val="000000" w:themeColor="text1"/>
        </w:rPr>
        <w:t>六</w:t>
      </w:r>
      <w:r w:rsidRPr="0014192B">
        <w:rPr>
          <w:rFonts w:hint="eastAsia"/>
          <w:color w:val="000000" w:themeColor="text1"/>
        </w:rPr>
        <w:t>）</w:t>
      </w:r>
      <w:r w:rsidR="00D935EA" w:rsidRPr="0014192B">
        <w:rPr>
          <w:rFonts w:hint="eastAsia"/>
          <w:color w:val="000000" w:themeColor="text1"/>
        </w:rPr>
        <w:t>2019</w:t>
      </w:r>
      <w:r w:rsidR="00D935EA" w:rsidRPr="0014192B">
        <w:rPr>
          <w:rFonts w:hint="eastAsia"/>
          <w:color w:val="000000" w:themeColor="text1"/>
        </w:rPr>
        <w:t>年</w:t>
      </w:r>
      <w:r w:rsidR="00D935EA" w:rsidRPr="0014192B">
        <w:rPr>
          <w:rFonts w:hint="eastAsia"/>
          <w:color w:val="000000" w:themeColor="text1"/>
        </w:rPr>
        <w:t>1-</w:t>
      </w:r>
      <w:r w:rsidR="0014192B" w:rsidRPr="0014192B">
        <w:rPr>
          <w:rFonts w:hint="eastAsia"/>
          <w:color w:val="000000" w:themeColor="text1"/>
        </w:rPr>
        <w:t>9</w:t>
      </w:r>
      <w:r w:rsidR="00D935EA" w:rsidRPr="0014192B">
        <w:rPr>
          <w:rFonts w:hint="eastAsia"/>
          <w:color w:val="000000" w:themeColor="text1"/>
        </w:rPr>
        <w:t>月</w:t>
      </w:r>
      <w:r w:rsidRPr="0014192B">
        <w:rPr>
          <w:rFonts w:hint="eastAsia"/>
          <w:color w:val="000000" w:themeColor="text1"/>
        </w:rPr>
        <w:t>和龙法院庭审直播数占比情况</w:t>
      </w:r>
      <w:bookmarkEnd w:id="69"/>
      <w:bookmarkEnd w:id="70"/>
      <w:bookmarkEnd w:id="71"/>
    </w:p>
    <w:p w:rsidR="0077224A" w:rsidRPr="0018122A" w:rsidRDefault="00D935EA" w:rsidP="00BB0E5D">
      <w:pPr>
        <w:spacing w:line="360" w:lineRule="auto"/>
        <w:ind w:firstLine="573"/>
        <w:rPr>
          <w:rFonts w:ascii="仿宋" w:eastAsia="仿宋" w:hAnsi="仿宋"/>
          <w:color w:val="000000" w:themeColor="text1"/>
          <w:sz w:val="28"/>
          <w:szCs w:val="28"/>
        </w:rPr>
      </w:pPr>
      <w:r>
        <w:rPr>
          <w:rFonts w:ascii="仿宋" w:eastAsia="仿宋" w:hAnsi="仿宋" w:hint="eastAsia"/>
          <w:color w:val="000000" w:themeColor="text1"/>
          <w:sz w:val="28"/>
          <w:szCs w:val="28"/>
        </w:rPr>
        <w:t>2019年1-</w:t>
      </w:r>
      <w:r w:rsidR="0014192B">
        <w:rPr>
          <w:rFonts w:ascii="仿宋" w:eastAsia="仿宋" w:hAnsi="仿宋" w:hint="eastAsia"/>
          <w:color w:val="000000" w:themeColor="text1"/>
          <w:sz w:val="28"/>
          <w:szCs w:val="28"/>
        </w:rPr>
        <w:t>9</w:t>
      </w:r>
      <w:r>
        <w:rPr>
          <w:rFonts w:ascii="仿宋" w:eastAsia="仿宋" w:hAnsi="仿宋" w:hint="eastAsia"/>
          <w:color w:val="000000" w:themeColor="text1"/>
          <w:sz w:val="28"/>
          <w:szCs w:val="28"/>
        </w:rPr>
        <w:t>月</w:t>
      </w:r>
      <w:r w:rsidR="00050986" w:rsidRPr="0018122A">
        <w:rPr>
          <w:rFonts w:ascii="仿宋" w:eastAsia="仿宋" w:hAnsi="仿宋" w:hint="eastAsia"/>
          <w:color w:val="000000" w:themeColor="text1"/>
          <w:sz w:val="28"/>
          <w:szCs w:val="28"/>
        </w:rPr>
        <w:t>，和龙法院庭审直播数占比为</w:t>
      </w:r>
      <w:r w:rsidR="0014192B">
        <w:rPr>
          <w:rFonts w:ascii="仿宋" w:eastAsia="仿宋" w:hAnsi="仿宋" w:hint="eastAsia"/>
          <w:color w:val="000000" w:themeColor="text1"/>
          <w:sz w:val="28"/>
          <w:szCs w:val="28"/>
        </w:rPr>
        <w:t>42.13</w:t>
      </w:r>
      <w:r w:rsidR="00604EDB">
        <w:rPr>
          <w:rFonts w:ascii="仿宋" w:eastAsia="仿宋" w:hAnsi="仿宋" w:hint="eastAsia"/>
          <w:color w:val="000000" w:themeColor="text1"/>
          <w:sz w:val="28"/>
          <w:szCs w:val="28"/>
        </w:rPr>
        <w:t>%。</w:t>
      </w:r>
    </w:p>
    <w:p w:rsidR="00025DAE" w:rsidRPr="0018122A" w:rsidRDefault="00D935EA">
      <w:pPr>
        <w:ind w:firstLineChars="393" w:firstLine="1105"/>
        <w:rPr>
          <w:rFonts w:ascii="宋体" w:hAnsi="宋体"/>
          <w:b/>
          <w:color w:val="000000" w:themeColor="text1"/>
          <w:sz w:val="28"/>
          <w:szCs w:val="28"/>
        </w:rPr>
      </w:pPr>
      <w:r>
        <w:rPr>
          <w:rFonts w:ascii="宋体" w:hAnsi="宋体" w:hint="eastAsia"/>
          <w:b/>
          <w:color w:val="000000" w:themeColor="text1"/>
          <w:sz w:val="28"/>
          <w:szCs w:val="28"/>
        </w:rPr>
        <w:t>2019年1-</w:t>
      </w:r>
      <w:r w:rsidR="0014192B">
        <w:rPr>
          <w:rFonts w:ascii="宋体" w:hAnsi="宋体" w:hint="eastAsia"/>
          <w:b/>
          <w:color w:val="000000" w:themeColor="text1"/>
          <w:sz w:val="28"/>
          <w:szCs w:val="28"/>
        </w:rPr>
        <w:t>9</w:t>
      </w:r>
      <w:r>
        <w:rPr>
          <w:rFonts w:ascii="宋体" w:hAnsi="宋体" w:hint="eastAsia"/>
          <w:b/>
          <w:color w:val="000000" w:themeColor="text1"/>
          <w:sz w:val="28"/>
          <w:szCs w:val="28"/>
        </w:rPr>
        <w:t>月</w:t>
      </w:r>
      <w:r w:rsidR="00BA43A9">
        <w:rPr>
          <w:rFonts w:ascii="宋体" w:hAnsi="宋体" w:hint="eastAsia"/>
          <w:b/>
          <w:color w:val="000000" w:themeColor="text1"/>
          <w:sz w:val="28"/>
          <w:szCs w:val="28"/>
        </w:rPr>
        <w:t>和龙法院庭审直播数占比情况</w:t>
      </w:r>
    </w:p>
    <w:bookmarkStart w:id="72" w:name="_MON_1629199564"/>
    <w:bookmarkEnd w:id="72"/>
    <w:p w:rsidR="00025DAE" w:rsidRPr="0018122A" w:rsidRDefault="0014192B">
      <w:pPr>
        <w:spacing w:line="360" w:lineRule="auto"/>
        <w:ind w:firstLine="573"/>
        <w:rPr>
          <w:rFonts w:ascii="黑体" w:eastAsia="黑体" w:hAnsi="黑体"/>
          <w:color w:val="000000" w:themeColor="text1"/>
          <w:sz w:val="28"/>
          <w:szCs w:val="28"/>
        </w:rPr>
      </w:pPr>
      <w:r w:rsidRPr="000F3D23">
        <w:rPr>
          <w:rFonts w:ascii="黑体" w:eastAsia="黑体" w:hAnsi="黑体"/>
          <w:color w:val="000000" w:themeColor="text1"/>
          <w:sz w:val="28"/>
          <w:szCs w:val="28"/>
        </w:rPr>
        <w:object w:dxaOrig="8761" w:dyaOrig="1134">
          <v:shape id="_x0000_i1027" type="#_x0000_t75" style="width:438.15pt;height:56.7pt" o:ole="">
            <v:imagedata r:id="rId22" o:title=""/>
          </v:shape>
          <o:OLEObject Type="Embed" ProgID="Excel.Sheet.12" ShapeID="_x0000_i1027" DrawAspect="Content" ObjectID="_1635750007" r:id="rId23"/>
        </w:object>
      </w:r>
    </w:p>
    <w:p w:rsidR="00025DAE" w:rsidRPr="0018122A" w:rsidRDefault="00050986">
      <w:pPr>
        <w:pStyle w:val="2"/>
        <w:rPr>
          <w:rFonts w:hint="eastAsia"/>
          <w:color w:val="000000" w:themeColor="text1"/>
        </w:rPr>
      </w:pPr>
      <w:r w:rsidRPr="0018122A">
        <w:rPr>
          <w:rFonts w:hint="eastAsia"/>
          <w:color w:val="000000" w:themeColor="text1"/>
        </w:rPr>
        <w:t xml:space="preserve">    </w:t>
      </w:r>
      <w:bookmarkStart w:id="73" w:name="_Toc512002213"/>
      <w:bookmarkStart w:id="74" w:name="_Toc512002143"/>
      <w:bookmarkStart w:id="75" w:name="_Toc25137277"/>
      <w:r w:rsidRPr="0018122A">
        <w:rPr>
          <w:rFonts w:hint="eastAsia"/>
          <w:color w:val="000000" w:themeColor="text1"/>
        </w:rPr>
        <w:t>（</w:t>
      </w:r>
      <w:r w:rsidR="00C64016">
        <w:rPr>
          <w:rFonts w:hint="eastAsia"/>
          <w:color w:val="000000" w:themeColor="text1"/>
        </w:rPr>
        <w:t>七</w:t>
      </w:r>
      <w:r w:rsidRPr="0018122A">
        <w:rPr>
          <w:rFonts w:hint="eastAsia"/>
          <w:color w:val="000000" w:themeColor="text1"/>
        </w:rPr>
        <w:t>）卷宗归档率指标</w:t>
      </w:r>
      <w:bookmarkEnd w:id="73"/>
      <w:bookmarkEnd w:id="74"/>
      <w:bookmarkEnd w:id="75"/>
    </w:p>
    <w:p w:rsidR="00DE4A1B" w:rsidRPr="00FD3CBD" w:rsidRDefault="00050986" w:rsidP="00BB0E5D">
      <w:pPr>
        <w:spacing w:line="360" w:lineRule="auto"/>
        <w:ind w:firstLine="573"/>
        <w:rPr>
          <w:rFonts w:ascii="仿宋" w:eastAsia="仿宋" w:hAnsi="仿宋"/>
          <w:color w:val="000000" w:themeColor="text1"/>
          <w:sz w:val="28"/>
          <w:szCs w:val="28"/>
        </w:rPr>
      </w:pPr>
      <w:r w:rsidRPr="0018122A">
        <w:rPr>
          <w:rFonts w:ascii="仿宋" w:eastAsia="仿宋" w:hAnsi="仿宋" w:hint="eastAsia"/>
          <w:color w:val="000000" w:themeColor="text1"/>
          <w:sz w:val="28"/>
          <w:szCs w:val="28"/>
        </w:rPr>
        <w:t xml:space="preserve"> 该项指标用于考核卷宗归档及时性，已结案件在</w:t>
      </w:r>
      <w:r w:rsidR="00862DCD" w:rsidRPr="0018122A">
        <w:rPr>
          <w:rFonts w:ascii="仿宋" w:eastAsia="仿宋" w:hAnsi="仿宋" w:hint="eastAsia"/>
          <w:color w:val="000000" w:themeColor="text1"/>
          <w:sz w:val="28"/>
          <w:szCs w:val="28"/>
        </w:rPr>
        <w:t>一</w:t>
      </w:r>
      <w:r w:rsidRPr="0018122A">
        <w:rPr>
          <w:rFonts w:ascii="仿宋" w:eastAsia="仿宋" w:hAnsi="仿宋" w:hint="eastAsia"/>
          <w:color w:val="000000" w:themeColor="text1"/>
          <w:sz w:val="28"/>
          <w:szCs w:val="28"/>
        </w:rPr>
        <w:t>个月内均应归档完毕。根据省高院关于卷宗归档的相关规定，该项指标是按未归档的件数进行扣分，所以，州法院在制定该指标考核值时</w:t>
      </w:r>
      <w:r w:rsidR="00CF0018" w:rsidRPr="0018122A">
        <w:rPr>
          <w:rFonts w:ascii="仿宋" w:eastAsia="仿宋" w:hAnsi="仿宋" w:hint="eastAsia"/>
          <w:color w:val="000000" w:themeColor="text1"/>
          <w:sz w:val="28"/>
          <w:szCs w:val="28"/>
        </w:rPr>
        <w:t>，一件否决制（</w:t>
      </w:r>
      <w:r w:rsidR="00942849" w:rsidRPr="0018122A">
        <w:rPr>
          <w:rFonts w:ascii="仿宋" w:eastAsia="仿宋" w:hAnsi="仿宋" w:hint="eastAsia"/>
          <w:color w:val="000000" w:themeColor="text1"/>
          <w:sz w:val="28"/>
          <w:szCs w:val="28"/>
        </w:rPr>
        <w:t>一件案件超过一个月未归档</w:t>
      </w:r>
      <w:r w:rsidR="00C53EB5" w:rsidRPr="0018122A">
        <w:rPr>
          <w:rFonts w:ascii="仿宋" w:eastAsia="仿宋" w:hAnsi="仿宋" w:hint="eastAsia"/>
          <w:color w:val="000000" w:themeColor="text1"/>
          <w:sz w:val="28"/>
          <w:szCs w:val="28"/>
        </w:rPr>
        <w:t>该项指标</w:t>
      </w:r>
      <w:r w:rsidR="0001443E" w:rsidRPr="0018122A">
        <w:rPr>
          <w:rFonts w:ascii="仿宋" w:eastAsia="仿宋" w:hAnsi="仿宋" w:hint="eastAsia"/>
          <w:color w:val="000000" w:themeColor="text1"/>
          <w:sz w:val="28"/>
          <w:szCs w:val="28"/>
        </w:rPr>
        <w:t>不得分</w:t>
      </w:r>
      <w:r w:rsidR="00CF0018" w:rsidRPr="0018122A">
        <w:rPr>
          <w:rFonts w:ascii="仿宋" w:eastAsia="仿宋" w:hAnsi="仿宋" w:hint="eastAsia"/>
          <w:color w:val="000000" w:themeColor="text1"/>
          <w:sz w:val="28"/>
          <w:szCs w:val="28"/>
        </w:rPr>
        <w:t>）</w:t>
      </w:r>
      <w:r w:rsidRPr="0018122A">
        <w:rPr>
          <w:rFonts w:ascii="仿宋" w:eastAsia="仿宋" w:hAnsi="仿宋" w:hint="eastAsia"/>
          <w:color w:val="000000" w:themeColor="text1"/>
          <w:sz w:val="28"/>
          <w:szCs w:val="28"/>
        </w:rPr>
        <w:t>。</w:t>
      </w:r>
      <w:r w:rsidR="00723D42">
        <w:rPr>
          <w:rFonts w:ascii="仿宋" w:eastAsia="仿宋" w:hAnsi="仿宋" w:hint="eastAsia"/>
          <w:color w:val="000000" w:themeColor="text1"/>
          <w:sz w:val="28"/>
          <w:szCs w:val="28"/>
        </w:rPr>
        <w:t>9月份</w:t>
      </w:r>
      <w:r w:rsidR="00980B7C" w:rsidRPr="0018122A">
        <w:rPr>
          <w:rFonts w:ascii="仿宋" w:eastAsia="仿宋" w:hAnsi="仿宋" w:hint="eastAsia"/>
          <w:color w:val="000000" w:themeColor="text1"/>
          <w:sz w:val="28"/>
          <w:szCs w:val="28"/>
        </w:rPr>
        <w:t>，</w:t>
      </w:r>
      <w:proofErr w:type="gramStart"/>
      <w:r w:rsidR="00604EDB">
        <w:rPr>
          <w:rFonts w:ascii="仿宋" w:eastAsia="仿宋" w:hAnsi="仿宋" w:hint="eastAsia"/>
          <w:color w:val="000000" w:themeColor="text1"/>
          <w:sz w:val="28"/>
          <w:szCs w:val="28"/>
        </w:rPr>
        <w:t>无</w:t>
      </w:r>
      <w:r w:rsidR="00980B7C" w:rsidRPr="0018122A">
        <w:rPr>
          <w:rFonts w:ascii="仿宋" w:eastAsia="仿宋" w:hAnsi="仿宋" w:hint="eastAsia"/>
          <w:color w:val="000000" w:themeColor="text1"/>
          <w:sz w:val="28"/>
          <w:szCs w:val="28"/>
        </w:rPr>
        <w:t>超过</w:t>
      </w:r>
      <w:proofErr w:type="gramEnd"/>
      <w:r w:rsidR="00980B7C" w:rsidRPr="0018122A">
        <w:rPr>
          <w:rFonts w:ascii="仿宋" w:eastAsia="仿宋" w:hAnsi="仿宋" w:hint="eastAsia"/>
          <w:color w:val="000000" w:themeColor="text1"/>
          <w:sz w:val="28"/>
          <w:szCs w:val="28"/>
        </w:rPr>
        <w:t>1</w:t>
      </w:r>
      <w:r w:rsidR="00465AC2" w:rsidRPr="0018122A">
        <w:rPr>
          <w:rFonts w:ascii="仿宋" w:eastAsia="仿宋" w:hAnsi="仿宋" w:hint="eastAsia"/>
          <w:color w:val="000000" w:themeColor="text1"/>
          <w:sz w:val="28"/>
          <w:szCs w:val="28"/>
        </w:rPr>
        <w:t>个月未归档案件</w:t>
      </w:r>
      <w:r w:rsidR="00E714AC">
        <w:rPr>
          <w:rFonts w:ascii="仿宋" w:eastAsia="仿宋" w:hAnsi="仿宋" w:hint="eastAsia"/>
          <w:color w:val="000000" w:themeColor="text1"/>
          <w:sz w:val="28"/>
          <w:szCs w:val="28"/>
        </w:rPr>
        <w:t>。</w:t>
      </w:r>
    </w:p>
    <w:p w:rsidR="006069D7" w:rsidRPr="0018122A" w:rsidRDefault="00C64016" w:rsidP="00673F60">
      <w:pPr>
        <w:pStyle w:val="1"/>
        <w:ind w:firstLineChars="98" w:firstLine="315"/>
        <w:rPr>
          <w:color w:val="000000" w:themeColor="text1"/>
        </w:rPr>
      </w:pPr>
      <w:bookmarkStart w:id="76" w:name="_Toc25137278"/>
      <w:r>
        <w:rPr>
          <w:rFonts w:hint="eastAsia"/>
          <w:color w:val="000000" w:themeColor="text1"/>
        </w:rPr>
        <w:t>七</w:t>
      </w:r>
      <w:r w:rsidR="006069D7" w:rsidRPr="0018122A">
        <w:rPr>
          <w:rFonts w:hint="eastAsia"/>
          <w:color w:val="000000" w:themeColor="text1"/>
        </w:rPr>
        <w:t>、和龙法院审判执行工作特点</w:t>
      </w:r>
      <w:bookmarkEnd w:id="76"/>
    </w:p>
    <w:p w:rsidR="006069D7" w:rsidRPr="0018122A" w:rsidRDefault="006069D7" w:rsidP="006069D7">
      <w:pPr>
        <w:pStyle w:val="2"/>
        <w:rPr>
          <w:rFonts w:hint="eastAsia"/>
          <w:color w:val="000000" w:themeColor="text1"/>
        </w:rPr>
      </w:pPr>
      <w:r w:rsidRPr="0018122A">
        <w:rPr>
          <w:rFonts w:hint="eastAsia"/>
          <w:color w:val="000000" w:themeColor="text1"/>
        </w:rPr>
        <w:t xml:space="preserve">    </w:t>
      </w:r>
      <w:bookmarkStart w:id="77" w:name="_Toc25137279"/>
      <w:r w:rsidRPr="0018122A">
        <w:rPr>
          <w:rFonts w:hint="eastAsia"/>
          <w:color w:val="000000" w:themeColor="text1"/>
        </w:rPr>
        <w:t>（一）结案数量同比</w:t>
      </w:r>
      <w:r w:rsidR="00F03DD5" w:rsidRPr="0018122A">
        <w:rPr>
          <w:rFonts w:hint="eastAsia"/>
          <w:color w:val="000000" w:themeColor="text1"/>
        </w:rPr>
        <w:t>增加</w:t>
      </w:r>
      <w:bookmarkEnd w:id="77"/>
    </w:p>
    <w:p w:rsidR="006069D7" w:rsidRPr="0018122A" w:rsidRDefault="00D935EA" w:rsidP="006069D7">
      <w:pPr>
        <w:ind w:firstLineChars="200" w:firstLine="560"/>
        <w:rPr>
          <w:rFonts w:ascii="仿宋" w:eastAsia="仿宋" w:hAnsi="仿宋"/>
          <w:color w:val="000000" w:themeColor="text1"/>
          <w:sz w:val="28"/>
          <w:szCs w:val="28"/>
        </w:rPr>
      </w:pPr>
      <w:r>
        <w:rPr>
          <w:rFonts w:ascii="仿宋" w:eastAsia="仿宋" w:hAnsi="仿宋"/>
          <w:color w:val="000000" w:themeColor="text1"/>
          <w:sz w:val="28"/>
          <w:szCs w:val="28"/>
        </w:rPr>
        <w:t>2019年1-</w:t>
      </w:r>
      <w:r w:rsidR="002E2563">
        <w:rPr>
          <w:rFonts w:ascii="仿宋" w:eastAsia="仿宋" w:hAnsi="仿宋" w:hint="eastAsia"/>
          <w:color w:val="000000" w:themeColor="text1"/>
          <w:sz w:val="28"/>
          <w:szCs w:val="28"/>
        </w:rPr>
        <w:t>9</w:t>
      </w:r>
      <w:r>
        <w:rPr>
          <w:rFonts w:ascii="仿宋" w:eastAsia="仿宋" w:hAnsi="仿宋"/>
          <w:color w:val="000000" w:themeColor="text1"/>
          <w:sz w:val="28"/>
          <w:szCs w:val="28"/>
        </w:rPr>
        <w:t>月</w:t>
      </w:r>
      <w:r w:rsidR="006069D7" w:rsidRPr="0018122A">
        <w:rPr>
          <w:rFonts w:ascii="仿宋" w:eastAsia="仿宋" w:hAnsi="仿宋" w:hint="eastAsia"/>
          <w:color w:val="000000" w:themeColor="text1"/>
          <w:sz w:val="28"/>
          <w:szCs w:val="28"/>
        </w:rPr>
        <w:t>和龙</w:t>
      </w:r>
      <w:r w:rsidR="006069D7" w:rsidRPr="0018122A">
        <w:rPr>
          <w:rFonts w:ascii="仿宋" w:eastAsia="仿宋" w:hAnsi="仿宋"/>
          <w:color w:val="000000" w:themeColor="text1"/>
          <w:sz w:val="28"/>
          <w:szCs w:val="28"/>
        </w:rPr>
        <w:t>法院诉讼案件结案率</w:t>
      </w:r>
      <w:r w:rsidR="002E2563">
        <w:rPr>
          <w:rFonts w:ascii="仿宋" w:eastAsia="仿宋" w:hAnsi="仿宋" w:hint="eastAsia"/>
          <w:color w:val="000000" w:themeColor="text1"/>
          <w:sz w:val="28"/>
          <w:szCs w:val="28"/>
        </w:rPr>
        <w:t>83.70</w:t>
      </w:r>
      <w:r w:rsidR="006069D7" w:rsidRPr="0018122A">
        <w:rPr>
          <w:rFonts w:ascii="仿宋" w:eastAsia="仿宋" w:hAnsi="仿宋" w:hint="eastAsia"/>
          <w:color w:val="000000" w:themeColor="text1"/>
          <w:sz w:val="28"/>
          <w:szCs w:val="28"/>
        </w:rPr>
        <w:t>%,</w:t>
      </w:r>
      <w:r w:rsidR="00D729C4">
        <w:rPr>
          <w:rFonts w:ascii="仿宋" w:eastAsia="仿宋" w:hAnsi="仿宋" w:hint="eastAsia"/>
          <w:color w:val="000000" w:themeColor="text1"/>
          <w:sz w:val="28"/>
          <w:szCs w:val="28"/>
        </w:rPr>
        <w:t>结案率同比</w:t>
      </w:r>
      <w:r w:rsidR="00C40F41">
        <w:rPr>
          <w:rFonts w:ascii="仿宋" w:eastAsia="仿宋" w:hAnsi="仿宋" w:hint="eastAsia"/>
          <w:color w:val="000000" w:themeColor="text1"/>
          <w:sz w:val="28"/>
          <w:szCs w:val="28"/>
        </w:rPr>
        <w:t>上升</w:t>
      </w:r>
      <w:r w:rsidR="002E2563">
        <w:rPr>
          <w:rFonts w:ascii="仿宋" w:eastAsia="仿宋" w:hAnsi="仿宋" w:hint="eastAsia"/>
          <w:color w:val="000000" w:themeColor="text1"/>
          <w:sz w:val="28"/>
          <w:szCs w:val="28"/>
        </w:rPr>
        <w:t>3.36</w:t>
      </w:r>
      <w:r w:rsidR="006069D7" w:rsidRPr="0018122A">
        <w:rPr>
          <w:rFonts w:ascii="仿宋" w:eastAsia="仿宋" w:hAnsi="仿宋" w:hint="eastAsia"/>
          <w:color w:val="000000" w:themeColor="text1"/>
          <w:sz w:val="28"/>
          <w:szCs w:val="28"/>
        </w:rPr>
        <w:t>个百分点</w:t>
      </w:r>
      <w:r w:rsidR="006069D7" w:rsidRPr="0018122A">
        <w:rPr>
          <w:rFonts w:ascii="仿宋" w:eastAsia="仿宋" w:hAnsi="仿宋"/>
          <w:color w:val="000000" w:themeColor="text1"/>
          <w:sz w:val="28"/>
          <w:szCs w:val="28"/>
        </w:rPr>
        <w:t>，</w:t>
      </w:r>
      <w:r w:rsidR="006069D7" w:rsidRPr="0018122A">
        <w:rPr>
          <w:rFonts w:ascii="仿宋" w:eastAsia="仿宋" w:hAnsi="仿宋" w:hint="eastAsia"/>
          <w:color w:val="000000" w:themeColor="text1"/>
          <w:sz w:val="28"/>
          <w:szCs w:val="28"/>
        </w:rPr>
        <w:t>同时</w:t>
      </w:r>
      <w:r w:rsidR="006069D7" w:rsidRPr="0018122A">
        <w:rPr>
          <w:rFonts w:ascii="仿宋" w:eastAsia="仿宋" w:hAnsi="仿宋"/>
          <w:color w:val="000000" w:themeColor="text1"/>
          <w:sz w:val="28"/>
          <w:szCs w:val="28"/>
        </w:rPr>
        <w:t>审结案件</w:t>
      </w:r>
      <w:r w:rsidR="006069D7" w:rsidRPr="0018122A">
        <w:rPr>
          <w:rFonts w:ascii="仿宋" w:eastAsia="仿宋" w:hAnsi="仿宋" w:hint="eastAsia"/>
          <w:color w:val="000000" w:themeColor="text1"/>
          <w:sz w:val="28"/>
          <w:szCs w:val="28"/>
        </w:rPr>
        <w:t>数</w:t>
      </w:r>
      <w:r w:rsidR="002E2563">
        <w:rPr>
          <w:rFonts w:ascii="仿宋" w:eastAsia="仿宋" w:hAnsi="仿宋" w:hint="eastAsia"/>
          <w:color w:val="000000" w:themeColor="text1"/>
          <w:sz w:val="28"/>
          <w:szCs w:val="28"/>
        </w:rPr>
        <w:t>1053</w:t>
      </w:r>
      <w:r w:rsidR="006069D7" w:rsidRPr="0018122A">
        <w:rPr>
          <w:rFonts w:ascii="仿宋" w:eastAsia="仿宋" w:hAnsi="仿宋" w:hint="eastAsia"/>
          <w:color w:val="000000" w:themeColor="text1"/>
          <w:sz w:val="28"/>
          <w:szCs w:val="28"/>
        </w:rPr>
        <w:t>件，同</w:t>
      </w:r>
      <w:r w:rsidR="006069D7" w:rsidRPr="0018122A">
        <w:rPr>
          <w:rFonts w:ascii="仿宋" w:eastAsia="仿宋" w:hAnsi="仿宋"/>
          <w:color w:val="000000" w:themeColor="text1"/>
          <w:sz w:val="28"/>
          <w:szCs w:val="28"/>
        </w:rPr>
        <w:t>比</w:t>
      </w:r>
      <w:r w:rsidR="00F03DD5" w:rsidRPr="0018122A">
        <w:rPr>
          <w:rFonts w:ascii="仿宋" w:eastAsia="仿宋" w:hAnsi="仿宋" w:hint="eastAsia"/>
          <w:color w:val="000000" w:themeColor="text1"/>
          <w:sz w:val="28"/>
          <w:szCs w:val="28"/>
        </w:rPr>
        <w:t>增加</w:t>
      </w:r>
      <w:r w:rsidR="002E2563">
        <w:rPr>
          <w:rFonts w:ascii="仿宋" w:eastAsia="仿宋" w:hAnsi="仿宋" w:hint="eastAsia"/>
          <w:color w:val="000000" w:themeColor="text1"/>
          <w:sz w:val="28"/>
          <w:szCs w:val="28"/>
        </w:rPr>
        <w:t>211</w:t>
      </w:r>
      <w:r w:rsidR="006069D7" w:rsidRPr="0018122A">
        <w:rPr>
          <w:rFonts w:ascii="仿宋" w:eastAsia="仿宋" w:hAnsi="仿宋" w:hint="eastAsia"/>
          <w:color w:val="000000" w:themeColor="text1"/>
          <w:sz w:val="28"/>
          <w:szCs w:val="28"/>
        </w:rPr>
        <w:t>件。</w:t>
      </w:r>
    </w:p>
    <w:p w:rsidR="006069D7" w:rsidRPr="0018122A" w:rsidRDefault="006069D7" w:rsidP="006069D7">
      <w:pPr>
        <w:pStyle w:val="2"/>
        <w:rPr>
          <w:rFonts w:hint="eastAsia"/>
          <w:color w:val="000000" w:themeColor="text1"/>
        </w:rPr>
      </w:pPr>
      <w:r w:rsidRPr="0018122A">
        <w:rPr>
          <w:rFonts w:hint="eastAsia"/>
          <w:color w:val="000000" w:themeColor="text1"/>
        </w:rPr>
        <w:t xml:space="preserve">    </w:t>
      </w:r>
      <w:bookmarkStart w:id="78" w:name="_Toc25137280"/>
      <w:r w:rsidRPr="0018122A">
        <w:rPr>
          <w:rFonts w:hint="eastAsia"/>
          <w:color w:val="000000" w:themeColor="text1"/>
        </w:rPr>
        <w:t>（二）法定审限内结案率</w:t>
      </w:r>
      <w:bookmarkEnd w:id="78"/>
    </w:p>
    <w:p w:rsidR="006069D7" w:rsidRPr="0018122A" w:rsidRDefault="006069D7" w:rsidP="006069D7">
      <w:pPr>
        <w:spacing w:line="360" w:lineRule="auto"/>
        <w:ind w:firstLineChars="200" w:firstLine="560"/>
        <w:rPr>
          <w:rFonts w:ascii="仿宋" w:eastAsia="仿宋" w:hAnsi="仿宋" w:cs="仿宋"/>
          <w:color w:val="000000" w:themeColor="text1"/>
          <w:sz w:val="28"/>
          <w:szCs w:val="28"/>
        </w:rPr>
      </w:pPr>
      <w:r w:rsidRPr="0018122A">
        <w:rPr>
          <w:rFonts w:ascii="仿宋" w:eastAsia="仿宋" w:hAnsi="仿宋" w:cs="仿宋" w:hint="eastAsia"/>
          <w:color w:val="000000" w:themeColor="text1"/>
          <w:sz w:val="28"/>
          <w:szCs w:val="28"/>
        </w:rPr>
        <w:t>全体法官审</w:t>
      </w:r>
      <w:proofErr w:type="gramStart"/>
      <w:r w:rsidRPr="0018122A">
        <w:rPr>
          <w:rFonts w:ascii="仿宋" w:eastAsia="仿宋" w:hAnsi="仿宋" w:cs="仿宋" w:hint="eastAsia"/>
          <w:color w:val="000000" w:themeColor="text1"/>
          <w:sz w:val="28"/>
          <w:szCs w:val="28"/>
        </w:rPr>
        <w:t>限意识</w:t>
      </w:r>
      <w:proofErr w:type="gramEnd"/>
      <w:r w:rsidRPr="0018122A">
        <w:rPr>
          <w:rFonts w:ascii="仿宋" w:eastAsia="仿宋" w:hAnsi="仿宋" w:cs="仿宋" w:hint="eastAsia"/>
          <w:color w:val="000000" w:themeColor="text1"/>
          <w:sz w:val="28"/>
          <w:szCs w:val="28"/>
        </w:rPr>
        <w:t>普遍</w:t>
      </w:r>
      <w:r w:rsidR="003B4509">
        <w:rPr>
          <w:rFonts w:ascii="仿宋" w:eastAsia="仿宋" w:hAnsi="仿宋" w:cs="仿宋" w:hint="eastAsia"/>
          <w:color w:val="000000" w:themeColor="text1"/>
          <w:sz w:val="28"/>
          <w:szCs w:val="28"/>
        </w:rPr>
        <w:t>较</w:t>
      </w:r>
      <w:r w:rsidRPr="0018122A">
        <w:rPr>
          <w:rFonts w:ascii="仿宋" w:eastAsia="仿宋" w:hAnsi="仿宋" w:cs="仿宋" w:hint="eastAsia"/>
          <w:color w:val="000000" w:themeColor="text1"/>
          <w:sz w:val="28"/>
          <w:szCs w:val="28"/>
        </w:rPr>
        <w:t>强，</w:t>
      </w:r>
      <w:r w:rsidR="00D935EA">
        <w:rPr>
          <w:rFonts w:ascii="仿宋" w:eastAsia="仿宋" w:hAnsi="仿宋" w:hint="eastAsia"/>
          <w:color w:val="000000" w:themeColor="text1"/>
          <w:sz w:val="28"/>
          <w:szCs w:val="28"/>
        </w:rPr>
        <w:t>2019年1-</w:t>
      </w:r>
      <w:r w:rsidR="002E2563">
        <w:rPr>
          <w:rFonts w:ascii="仿宋" w:eastAsia="仿宋" w:hAnsi="仿宋" w:hint="eastAsia"/>
          <w:color w:val="000000" w:themeColor="text1"/>
          <w:sz w:val="28"/>
          <w:szCs w:val="28"/>
        </w:rPr>
        <w:t>9</w:t>
      </w:r>
      <w:r w:rsidR="00D935EA">
        <w:rPr>
          <w:rFonts w:ascii="仿宋" w:eastAsia="仿宋" w:hAnsi="仿宋" w:hint="eastAsia"/>
          <w:color w:val="000000" w:themeColor="text1"/>
          <w:sz w:val="28"/>
          <w:szCs w:val="28"/>
        </w:rPr>
        <w:t>月</w:t>
      </w:r>
      <w:r w:rsidRPr="0018122A">
        <w:rPr>
          <w:rFonts w:ascii="仿宋" w:eastAsia="仿宋" w:hAnsi="仿宋" w:hint="eastAsia"/>
          <w:color w:val="000000" w:themeColor="text1"/>
          <w:sz w:val="28"/>
          <w:szCs w:val="28"/>
        </w:rPr>
        <w:t>，和龙法院法定审限内平均结案率为</w:t>
      </w:r>
      <w:r w:rsidR="003B4509">
        <w:rPr>
          <w:rFonts w:ascii="仿宋" w:eastAsia="仿宋" w:hAnsi="仿宋" w:hint="eastAsia"/>
          <w:color w:val="000000" w:themeColor="text1"/>
          <w:sz w:val="28"/>
          <w:szCs w:val="28"/>
        </w:rPr>
        <w:t>99.</w:t>
      </w:r>
      <w:r w:rsidR="002E2563">
        <w:rPr>
          <w:rFonts w:ascii="仿宋" w:eastAsia="仿宋" w:hAnsi="仿宋" w:hint="eastAsia"/>
          <w:color w:val="000000" w:themeColor="text1"/>
          <w:sz w:val="28"/>
          <w:szCs w:val="28"/>
        </w:rPr>
        <w:t>81</w:t>
      </w:r>
      <w:r w:rsidRPr="0018122A">
        <w:rPr>
          <w:rFonts w:ascii="仿宋" w:eastAsia="仿宋" w:hAnsi="仿宋" w:hint="eastAsia"/>
          <w:color w:val="000000" w:themeColor="text1"/>
          <w:sz w:val="28"/>
          <w:szCs w:val="28"/>
        </w:rPr>
        <w:t>%</w:t>
      </w:r>
      <w:r w:rsidRPr="0018122A">
        <w:rPr>
          <w:rFonts w:ascii="仿宋" w:eastAsia="仿宋" w:hAnsi="仿宋" w:cs="仿宋" w:hint="eastAsia"/>
          <w:color w:val="000000" w:themeColor="text1"/>
          <w:sz w:val="28"/>
          <w:szCs w:val="28"/>
        </w:rPr>
        <w:t>。</w:t>
      </w:r>
    </w:p>
    <w:p w:rsidR="006069D7" w:rsidRPr="0018122A" w:rsidRDefault="006069D7" w:rsidP="006069D7">
      <w:pPr>
        <w:pStyle w:val="2"/>
        <w:rPr>
          <w:rFonts w:hint="eastAsia"/>
          <w:color w:val="000000" w:themeColor="text1"/>
        </w:rPr>
      </w:pPr>
      <w:r w:rsidRPr="0018122A">
        <w:rPr>
          <w:rFonts w:cs="仿宋" w:hint="eastAsia"/>
          <w:color w:val="000000" w:themeColor="text1"/>
        </w:rPr>
        <w:t xml:space="preserve">    </w:t>
      </w:r>
      <w:bookmarkStart w:id="79" w:name="_Toc25137281"/>
      <w:r w:rsidRPr="0018122A">
        <w:rPr>
          <w:rFonts w:cs="仿宋" w:hint="eastAsia"/>
          <w:color w:val="000000" w:themeColor="text1"/>
        </w:rPr>
        <w:t>（三）</w:t>
      </w:r>
      <w:r w:rsidRPr="0018122A">
        <w:rPr>
          <w:rFonts w:hint="eastAsia"/>
          <w:color w:val="000000" w:themeColor="text1"/>
        </w:rPr>
        <w:t>旧存案件、长期未结案</w:t>
      </w:r>
      <w:proofErr w:type="gramStart"/>
      <w:r w:rsidRPr="0018122A">
        <w:rPr>
          <w:rFonts w:hint="eastAsia"/>
          <w:color w:val="000000" w:themeColor="text1"/>
        </w:rPr>
        <w:t>件清理</w:t>
      </w:r>
      <w:proofErr w:type="gramEnd"/>
      <w:r w:rsidRPr="0018122A">
        <w:rPr>
          <w:rFonts w:hint="eastAsia"/>
          <w:color w:val="000000" w:themeColor="text1"/>
        </w:rPr>
        <w:t>工作需要努力</w:t>
      </w:r>
      <w:bookmarkEnd w:id="79"/>
      <w:r w:rsidRPr="0018122A">
        <w:rPr>
          <w:color w:val="000000" w:themeColor="text1"/>
        </w:rPr>
        <w:tab/>
      </w:r>
    </w:p>
    <w:p w:rsidR="006069D7" w:rsidRPr="0018122A" w:rsidRDefault="006069D7" w:rsidP="006069D7">
      <w:pPr>
        <w:ind w:firstLineChars="200" w:firstLine="560"/>
        <w:rPr>
          <w:rFonts w:ascii="仿宋" w:eastAsia="仿宋" w:hAnsi="仿宋"/>
          <w:color w:val="000000" w:themeColor="text1"/>
          <w:sz w:val="28"/>
          <w:szCs w:val="28"/>
        </w:rPr>
      </w:pPr>
      <w:r w:rsidRPr="0018122A">
        <w:rPr>
          <w:rFonts w:ascii="仿宋" w:eastAsia="仿宋" w:hAnsi="仿宋" w:hint="eastAsia"/>
          <w:color w:val="000000" w:themeColor="text1"/>
          <w:sz w:val="28"/>
          <w:szCs w:val="28"/>
        </w:rPr>
        <w:t>和龙法院旧存案件由201</w:t>
      </w:r>
      <w:r w:rsidR="00EC4224">
        <w:rPr>
          <w:rFonts w:ascii="仿宋" w:eastAsia="仿宋" w:hAnsi="仿宋" w:hint="eastAsia"/>
          <w:color w:val="000000" w:themeColor="text1"/>
          <w:sz w:val="28"/>
          <w:szCs w:val="28"/>
        </w:rPr>
        <w:t>8</w:t>
      </w:r>
      <w:r w:rsidRPr="0018122A">
        <w:rPr>
          <w:rFonts w:ascii="仿宋" w:eastAsia="仿宋" w:hAnsi="仿宋" w:hint="eastAsia"/>
          <w:color w:val="000000" w:themeColor="text1"/>
          <w:sz w:val="28"/>
          <w:szCs w:val="28"/>
        </w:rPr>
        <w:t>同期的</w:t>
      </w:r>
      <w:r w:rsidR="0098330F" w:rsidRPr="0018122A">
        <w:rPr>
          <w:rFonts w:ascii="仿宋" w:eastAsia="仿宋" w:hAnsi="仿宋" w:hint="eastAsia"/>
          <w:color w:val="000000" w:themeColor="text1"/>
          <w:sz w:val="28"/>
          <w:szCs w:val="28"/>
        </w:rPr>
        <w:t>261</w:t>
      </w:r>
      <w:r w:rsidRPr="0018122A">
        <w:rPr>
          <w:rFonts w:ascii="仿宋" w:eastAsia="仿宋" w:hAnsi="仿宋" w:hint="eastAsia"/>
          <w:color w:val="000000" w:themeColor="text1"/>
          <w:sz w:val="28"/>
          <w:szCs w:val="28"/>
        </w:rPr>
        <w:t>件上升到</w:t>
      </w:r>
      <w:r w:rsidR="0098330F" w:rsidRPr="0018122A">
        <w:rPr>
          <w:rFonts w:ascii="仿宋" w:eastAsia="仿宋" w:hAnsi="仿宋" w:hint="eastAsia"/>
          <w:color w:val="000000" w:themeColor="text1"/>
          <w:sz w:val="28"/>
          <w:szCs w:val="28"/>
        </w:rPr>
        <w:t>338</w:t>
      </w:r>
      <w:r w:rsidRPr="0018122A">
        <w:rPr>
          <w:rFonts w:ascii="仿宋" w:eastAsia="仿宋" w:hAnsi="仿宋" w:hint="eastAsia"/>
          <w:color w:val="000000" w:themeColor="text1"/>
          <w:sz w:val="28"/>
          <w:szCs w:val="28"/>
        </w:rPr>
        <w:t>件，同比增加</w:t>
      </w:r>
      <w:r w:rsidR="0098330F" w:rsidRPr="0018122A">
        <w:rPr>
          <w:rFonts w:ascii="仿宋" w:eastAsia="仿宋" w:hAnsi="仿宋" w:hint="eastAsia"/>
          <w:color w:val="000000" w:themeColor="text1"/>
          <w:sz w:val="28"/>
          <w:szCs w:val="28"/>
        </w:rPr>
        <w:t>29.50</w:t>
      </w:r>
      <w:r w:rsidRPr="0018122A">
        <w:rPr>
          <w:rFonts w:ascii="仿宋" w:eastAsia="仿宋" w:hAnsi="仿宋" w:hint="eastAsia"/>
          <w:color w:val="000000" w:themeColor="text1"/>
          <w:sz w:val="28"/>
          <w:szCs w:val="28"/>
        </w:rPr>
        <w:t>%。超1</w:t>
      </w:r>
      <w:r w:rsidRPr="0018122A">
        <w:rPr>
          <w:rFonts w:ascii="仿宋" w:eastAsia="仿宋" w:hAnsi="仿宋"/>
          <w:color w:val="000000" w:themeColor="text1"/>
          <w:sz w:val="28"/>
          <w:szCs w:val="28"/>
        </w:rPr>
        <w:t>2</w:t>
      </w:r>
      <w:r w:rsidRPr="0018122A">
        <w:rPr>
          <w:rFonts w:ascii="仿宋" w:eastAsia="仿宋" w:hAnsi="仿宋" w:hint="eastAsia"/>
          <w:color w:val="000000" w:themeColor="text1"/>
          <w:sz w:val="28"/>
          <w:szCs w:val="28"/>
        </w:rPr>
        <w:t>个月不满2</w:t>
      </w:r>
      <w:r w:rsidRPr="0018122A">
        <w:rPr>
          <w:rFonts w:ascii="仿宋" w:eastAsia="仿宋" w:hAnsi="仿宋"/>
          <w:color w:val="000000" w:themeColor="text1"/>
          <w:sz w:val="28"/>
          <w:szCs w:val="28"/>
        </w:rPr>
        <w:t>4</w:t>
      </w:r>
      <w:r w:rsidRPr="0018122A">
        <w:rPr>
          <w:rFonts w:ascii="仿宋" w:eastAsia="仿宋" w:hAnsi="仿宋" w:hint="eastAsia"/>
          <w:color w:val="000000" w:themeColor="text1"/>
          <w:sz w:val="28"/>
          <w:szCs w:val="28"/>
        </w:rPr>
        <w:t>个月的未结诉讼案件</w:t>
      </w:r>
      <w:r w:rsidR="006F4CCD">
        <w:rPr>
          <w:rFonts w:ascii="仿宋" w:eastAsia="仿宋" w:hAnsi="仿宋" w:hint="eastAsia"/>
          <w:color w:val="000000" w:themeColor="text1"/>
          <w:sz w:val="28"/>
          <w:szCs w:val="28"/>
        </w:rPr>
        <w:t>4</w:t>
      </w:r>
      <w:r w:rsidRPr="0018122A">
        <w:rPr>
          <w:rFonts w:ascii="仿宋" w:eastAsia="仿宋" w:hAnsi="仿宋" w:hint="eastAsia"/>
          <w:color w:val="000000" w:themeColor="text1"/>
          <w:sz w:val="28"/>
          <w:szCs w:val="28"/>
        </w:rPr>
        <w:t>件，</w:t>
      </w:r>
      <w:r w:rsidR="00D5423E" w:rsidRPr="0018122A">
        <w:rPr>
          <w:rFonts w:ascii="仿宋" w:eastAsia="仿宋" w:hAnsi="仿宋" w:hint="eastAsia"/>
          <w:color w:val="000000" w:themeColor="text1"/>
          <w:sz w:val="28"/>
          <w:szCs w:val="28"/>
        </w:rPr>
        <w:t>一年</w:t>
      </w:r>
      <w:r w:rsidR="002630E8">
        <w:rPr>
          <w:rFonts w:ascii="仿宋" w:eastAsia="仿宋" w:hAnsi="仿宋" w:hint="eastAsia"/>
          <w:color w:val="000000" w:themeColor="text1"/>
          <w:sz w:val="28"/>
          <w:szCs w:val="28"/>
        </w:rPr>
        <w:t>到两年</w:t>
      </w:r>
      <w:r w:rsidRPr="0018122A">
        <w:rPr>
          <w:rFonts w:ascii="仿宋" w:eastAsia="仿宋" w:hAnsi="仿宋" w:hint="eastAsia"/>
          <w:color w:val="000000" w:themeColor="text1"/>
          <w:sz w:val="28"/>
          <w:szCs w:val="28"/>
        </w:rPr>
        <w:t>未结诉讼案件占比</w:t>
      </w:r>
      <w:r w:rsidR="003B4509">
        <w:rPr>
          <w:rFonts w:ascii="仿宋" w:eastAsia="仿宋" w:hAnsi="仿宋" w:hint="eastAsia"/>
          <w:color w:val="000000" w:themeColor="text1"/>
          <w:sz w:val="28"/>
          <w:szCs w:val="28"/>
        </w:rPr>
        <w:t>0.</w:t>
      </w:r>
      <w:r w:rsidR="001A65AF">
        <w:rPr>
          <w:rFonts w:ascii="仿宋" w:eastAsia="仿宋" w:hAnsi="仿宋" w:hint="eastAsia"/>
          <w:color w:val="000000" w:themeColor="text1"/>
          <w:sz w:val="28"/>
          <w:szCs w:val="28"/>
        </w:rPr>
        <w:t xml:space="preserve"> </w:t>
      </w:r>
      <w:r w:rsidR="006F4CCD">
        <w:rPr>
          <w:rFonts w:ascii="仿宋" w:eastAsia="仿宋" w:hAnsi="仿宋" w:hint="eastAsia"/>
          <w:color w:val="000000" w:themeColor="text1"/>
          <w:sz w:val="28"/>
          <w:szCs w:val="28"/>
        </w:rPr>
        <w:t>03</w:t>
      </w:r>
      <w:r w:rsidRPr="0018122A">
        <w:rPr>
          <w:rFonts w:ascii="仿宋" w:eastAsia="仿宋" w:hAnsi="仿宋" w:hint="eastAsia"/>
          <w:color w:val="000000" w:themeColor="text1"/>
          <w:sz w:val="28"/>
          <w:szCs w:val="28"/>
        </w:rPr>
        <w:t>%；超过2</w:t>
      </w:r>
      <w:r w:rsidRPr="0018122A">
        <w:rPr>
          <w:rFonts w:ascii="仿宋" w:eastAsia="仿宋" w:hAnsi="仿宋"/>
          <w:color w:val="000000" w:themeColor="text1"/>
          <w:sz w:val="28"/>
          <w:szCs w:val="28"/>
        </w:rPr>
        <w:t>4</w:t>
      </w:r>
      <w:r w:rsidRPr="0018122A">
        <w:rPr>
          <w:rFonts w:ascii="仿宋" w:eastAsia="仿宋" w:hAnsi="仿宋" w:hint="eastAsia"/>
          <w:color w:val="000000" w:themeColor="text1"/>
          <w:sz w:val="28"/>
          <w:szCs w:val="28"/>
        </w:rPr>
        <w:t>个月未结诉讼案件</w:t>
      </w:r>
      <w:r w:rsidR="00A86CAD">
        <w:rPr>
          <w:rFonts w:ascii="仿宋" w:eastAsia="仿宋" w:hAnsi="仿宋" w:hint="eastAsia"/>
          <w:color w:val="000000" w:themeColor="text1"/>
          <w:sz w:val="28"/>
          <w:szCs w:val="28"/>
        </w:rPr>
        <w:t>1</w:t>
      </w:r>
      <w:r w:rsidRPr="0018122A">
        <w:rPr>
          <w:rFonts w:ascii="仿宋" w:eastAsia="仿宋" w:hAnsi="仿宋" w:hint="eastAsia"/>
          <w:color w:val="000000" w:themeColor="text1"/>
          <w:sz w:val="28"/>
          <w:szCs w:val="28"/>
        </w:rPr>
        <w:t>件，</w:t>
      </w:r>
      <w:r w:rsidR="002630E8">
        <w:rPr>
          <w:rFonts w:ascii="仿宋" w:eastAsia="仿宋" w:hAnsi="仿宋" w:hint="eastAsia"/>
          <w:color w:val="000000" w:themeColor="text1"/>
          <w:sz w:val="28"/>
          <w:szCs w:val="28"/>
        </w:rPr>
        <w:t>两年以上</w:t>
      </w:r>
      <w:r w:rsidRPr="0018122A">
        <w:rPr>
          <w:rFonts w:ascii="仿宋" w:eastAsia="仿宋" w:hAnsi="仿宋" w:hint="eastAsia"/>
          <w:color w:val="000000" w:themeColor="text1"/>
          <w:sz w:val="28"/>
          <w:szCs w:val="28"/>
        </w:rPr>
        <w:t>长期未结诉讼案件占比0.</w:t>
      </w:r>
      <w:r w:rsidR="003B4509">
        <w:rPr>
          <w:rFonts w:ascii="仿宋" w:eastAsia="仿宋" w:hAnsi="仿宋" w:hint="eastAsia"/>
          <w:color w:val="000000" w:themeColor="text1"/>
          <w:sz w:val="28"/>
          <w:szCs w:val="28"/>
        </w:rPr>
        <w:t>0</w:t>
      </w:r>
      <w:r w:rsidR="006F4CCD">
        <w:rPr>
          <w:rFonts w:ascii="仿宋" w:eastAsia="仿宋" w:hAnsi="仿宋" w:hint="eastAsia"/>
          <w:color w:val="000000" w:themeColor="text1"/>
          <w:sz w:val="28"/>
          <w:szCs w:val="28"/>
        </w:rPr>
        <w:t>8</w:t>
      </w:r>
      <w:r w:rsidRPr="0018122A">
        <w:rPr>
          <w:rFonts w:ascii="仿宋" w:eastAsia="仿宋" w:hAnsi="仿宋" w:hint="eastAsia"/>
          <w:color w:val="000000" w:themeColor="text1"/>
          <w:sz w:val="28"/>
          <w:szCs w:val="28"/>
        </w:rPr>
        <w:t>%。</w:t>
      </w:r>
    </w:p>
    <w:p w:rsidR="006069D7" w:rsidRPr="0018122A" w:rsidRDefault="006069D7" w:rsidP="006069D7">
      <w:pPr>
        <w:pStyle w:val="2"/>
        <w:rPr>
          <w:rFonts w:hint="eastAsia"/>
          <w:color w:val="000000" w:themeColor="text1"/>
        </w:rPr>
      </w:pPr>
      <w:r w:rsidRPr="0018122A">
        <w:rPr>
          <w:rFonts w:hint="eastAsia"/>
          <w:color w:val="000000" w:themeColor="text1"/>
        </w:rPr>
        <w:t xml:space="preserve">    </w:t>
      </w:r>
      <w:bookmarkStart w:id="80" w:name="_Toc25137282"/>
      <w:r w:rsidRPr="0018122A">
        <w:rPr>
          <w:rFonts w:hint="eastAsia"/>
          <w:color w:val="000000" w:themeColor="text1"/>
        </w:rPr>
        <w:t>（四）一审案件简易程序适用率较</w:t>
      </w:r>
      <w:r w:rsidR="00E44F6A">
        <w:rPr>
          <w:rFonts w:hint="eastAsia"/>
          <w:color w:val="000000" w:themeColor="text1"/>
        </w:rPr>
        <w:t>低</w:t>
      </w:r>
      <w:bookmarkEnd w:id="80"/>
    </w:p>
    <w:p w:rsidR="006069D7" w:rsidRPr="0018122A" w:rsidRDefault="00D935EA" w:rsidP="006069D7">
      <w:pPr>
        <w:spacing w:before="240"/>
        <w:ind w:firstLineChars="200" w:firstLine="560"/>
        <w:rPr>
          <w:rFonts w:ascii="仿宋" w:eastAsia="仿宋" w:hAnsi="仿宋" w:cs="仿宋"/>
          <w:color w:val="000000" w:themeColor="text1"/>
          <w:sz w:val="28"/>
          <w:szCs w:val="28"/>
        </w:rPr>
      </w:pPr>
      <w:r>
        <w:rPr>
          <w:rFonts w:ascii="仿宋" w:eastAsia="仿宋" w:hAnsi="仿宋" w:cs="仿宋"/>
          <w:color w:val="000000" w:themeColor="text1"/>
          <w:sz w:val="28"/>
          <w:szCs w:val="28"/>
        </w:rPr>
        <w:t>2019年1-</w:t>
      </w:r>
      <w:r w:rsidR="006F4CCD">
        <w:rPr>
          <w:rFonts w:ascii="仿宋" w:eastAsia="仿宋" w:hAnsi="仿宋" w:cs="仿宋" w:hint="eastAsia"/>
          <w:color w:val="000000" w:themeColor="text1"/>
          <w:sz w:val="28"/>
          <w:szCs w:val="28"/>
        </w:rPr>
        <w:t>9</w:t>
      </w:r>
      <w:r>
        <w:rPr>
          <w:rFonts w:ascii="仿宋" w:eastAsia="仿宋" w:hAnsi="仿宋" w:cs="仿宋"/>
          <w:color w:val="000000" w:themeColor="text1"/>
          <w:sz w:val="28"/>
          <w:szCs w:val="28"/>
        </w:rPr>
        <w:t>月</w:t>
      </w:r>
      <w:r w:rsidR="006069D7" w:rsidRPr="0018122A">
        <w:rPr>
          <w:rFonts w:ascii="仿宋" w:eastAsia="仿宋" w:hAnsi="仿宋" w:cs="仿宋" w:hint="eastAsia"/>
          <w:color w:val="000000" w:themeColor="text1"/>
          <w:sz w:val="28"/>
          <w:szCs w:val="28"/>
        </w:rPr>
        <w:t>，和龙法院简易程序适用率为</w:t>
      </w:r>
      <w:r w:rsidR="006F4CCD">
        <w:rPr>
          <w:rFonts w:ascii="仿宋" w:eastAsia="仿宋" w:hAnsi="仿宋" w:cs="仿宋" w:hint="eastAsia"/>
          <w:color w:val="000000" w:themeColor="text1"/>
          <w:sz w:val="28"/>
          <w:szCs w:val="28"/>
        </w:rPr>
        <w:t>72.16</w:t>
      </w:r>
      <w:r w:rsidR="006069D7" w:rsidRPr="0018122A">
        <w:rPr>
          <w:rFonts w:ascii="仿宋" w:eastAsia="仿宋" w:hAnsi="仿宋" w:cs="仿宋"/>
          <w:color w:val="000000" w:themeColor="text1"/>
          <w:sz w:val="28"/>
          <w:szCs w:val="28"/>
        </w:rPr>
        <w:t>%</w:t>
      </w:r>
      <w:r w:rsidR="006069D7" w:rsidRPr="0018122A">
        <w:rPr>
          <w:rFonts w:ascii="仿宋" w:eastAsia="仿宋" w:hAnsi="仿宋" w:cs="仿宋" w:hint="eastAsia"/>
          <w:color w:val="000000" w:themeColor="text1"/>
          <w:sz w:val="28"/>
          <w:szCs w:val="28"/>
        </w:rPr>
        <w:t>。</w:t>
      </w:r>
    </w:p>
    <w:p w:rsidR="006069D7" w:rsidRPr="0018122A" w:rsidRDefault="006069D7" w:rsidP="006069D7">
      <w:pPr>
        <w:pStyle w:val="2"/>
        <w:rPr>
          <w:rFonts w:cs="仿宋" w:hint="eastAsia"/>
          <w:color w:val="000000" w:themeColor="text1"/>
        </w:rPr>
      </w:pPr>
      <w:r w:rsidRPr="0018122A">
        <w:rPr>
          <w:rFonts w:hint="eastAsia"/>
          <w:color w:val="000000" w:themeColor="text1"/>
        </w:rPr>
        <w:t xml:space="preserve">    </w:t>
      </w:r>
      <w:bookmarkStart w:id="81" w:name="_Toc25137283"/>
      <w:r w:rsidRPr="009D1D71">
        <w:rPr>
          <w:rFonts w:hint="eastAsia"/>
          <w:color w:val="000000" w:themeColor="text1"/>
        </w:rPr>
        <w:t>（五）一审案件服判息诉率指标较低</w:t>
      </w:r>
      <w:bookmarkEnd w:id="81"/>
    </w:p>
    <w:p w:rsidR="006069D7" w:rsidRPr="0018122A" w:rsidRDefault="006069D7" w:rsidP="006069D7">
      <w:pPr>
        <w:spacing w:line="360" w:lineRule="auto"/>
        <w:ind w:firstLineChars="200" w:firstLine="560"/>
        <w:rPr>
          <w:rFonts w:ascii="仿宋" w:eastAsia="仿宋" w:hAnsi="仿宋" w:cs="仿宋"/>
          <w:color w:val="000000" w:themeColor="text1"/>
          <w:sz w:val="28"/>
          <w:szCs w:val="28"/>
        </w:rPr>
      </w:pPr>
      <w:r w:rsidRPr="008F7E64">
        <w:rPr>
          <w:rFonts w:ascii="仿宋" w:eastAsia="仿宋" w:hAnsi="仿宋" w:cs="仿宋" w:hint="eastAsia"/>
          <w:color w:val="000000" w:themeColor="text1"/>
          <w:sz w:val="28"/>
          <w:szCs w:val="28"/>
        </w:rPr>
        <w:t>和龙法院</w:t>
      </w:r>
      <w:r w:rsidRPr="008F7E64">
        <w:rPr>
          <w:rFonts w:ascii="仿宋" w:eastAsia="仿宋" w:hAnsi="仿宋" w:hint="eastAsia"/>
          <w:color w:val="000000" w:themeColor="text1"/>
          <w:sz w:val="28"/>
          <w:szCs w:val="28"/>
        </w:rPr>
        <w:t>一审案件</w:t>
      </w:r>
      <w:r w:rsidRPr="008F7E64">
        <w:rPr>
          <w:rFonts w:ascii="仿宋" w:eastAsia="仿宋" w:hAnsi="仿宋" w:cs="仿宋" w:hint="eastAsia"/>
          <w:color w:val="000000" w:themeColor="text1"/>
          <w:sz w:val="28"/>
          <w:szCs w:val="28"/>
        </w:rPr>
        <w:t>服判息诉率为</w:t>
      </w:r>
      <w:r w:rsidR="009D1D71">
        <w:rPr>
          <w:rFonts w:ascii="仿宋" w:eastAsia="仿宋" w:hAnsi="仿宋" w:cs="仿宋" w:hint="eastAsia"/>
          <w:color w:val="000000" w:themeColor="text1"/>
          <w:sz w:val="28"/>
          <w:szCs w:val="28"/>
        </w:rPr>
        <w:t>90.42</w:t>
      </w:r>
      <w:r w:rsidRPr="008F7E64">
        <w:rPr>
          <w:rFonts w:ascii="仿宋" w:eastAsia="仿宋" w:hAnsi="仿宋" w:cs="仿宋" w:hint="eastAsia"/>
          <w:color w:val="000000" w:themeColor="text1"/>
          <w:sz w:val="28"/>
          <w:szCs w:val="28"/>
        </w:rPr>
        <w:t>%</w:t>
      </w:r>
      <w:r w:rsidRPr="0018122A">
        <w:rPr>
          <w:rFonts w:ascii="仿宋" w:eastAsia="仿宋" w:hAnsi="仿宋" w:cs="仿宋" w:hint="eastAsia"/>
          <w:color w:val="000000" w:themeColor="text1"/>
          <w:sz w:val="28"/>
          <w:szCs w:val="28"/>
        </w:rPr>
        <w:t>。</w:t>
      </w:r>
    </w:p>
    <w:p w:rsidR="006069D7" w:rsidRPr="0018122A" w:rsidRDefault="006069D7" w:rsidP="006069D7">
      <w:pPr>
        <w:pStyle w:val="2"/>
        <w:rPr>
          <w:rFonts w:hint="eastAsia"/>
          <w:color w:val="000000" w:themeColor="text1"/>
        </w:rPr>
      </w:pPr>
      <w:r w:rsidRPr="0018122A">
        <w:rPr>
          <w:rFonts w:hint="eastAsia"/>
          <w:color w:val="000000" w:themeColor="text1"/>
        </w:rPr>
        <w:t xml:space="preserve">    </w:t>
      </w:r>
      <w:bookmarkStart w:id="82" w:name="_Toc25137284"/>
      <w:r w:rsidRPr="00465C3B">
        <w:rPr>
          <w:rFonts w:hint="eastAsia"/>
          <w:color w:val="000000" w:themeColor="text1"/>
        </w:rPr>
        <w:t>（六）庭审直播工作推进情况较好</w:t>
      </w:r>
      <w:bookmarkEnd w:id="82"/>
    </w:p>
    <w:p w:rsidR="006069D7" w:rsidRPr="0018122A" w:rsidRDefault="0018122A" w:rsidP="006069D7">
      <w:pPr>
        <w:spacing w:line="360" w:lineRule="auto"/>
        <w:ind w:firstLineChars="200" w:firstLine="560"/>
        <w:rPr>
          <w:rFonts w:ascii="仿宋" w:eastAsia="仿宋" w:hAnsi="仿宋"/>
          <w:color w:val="000000" w:themeColor="text1"/>
          <w:sz w:val="28"/>
          <w:szCs w:val="28"/>
        </w:rPr>
      </w:pPr>
      <w:r w:rsidRPr="008673A3">
        <w:rPr>
          <w:rFonts w:ascii="仿宋" w:eastAsia="仿宋" w:hAnsi="仿宋" w:hint="eastAsia"/>
          <w:color w:val="000000" w:themeColor="text1"/>
          <w:sz w:val="28"/>
          <w:szCs w:val="28"/>
        </w:rPr>
        <w:t>和龙法院此项工作开展情况良好，和龙法院庭审直播为</w:t>
      </w:r>
      <w:r w:rsidR="006F4CCD">
        <w:rPr>
          <w:rFonts w:ascii="仿宋" w:eastAsia="仿宋" w:hAnsi="仿宋" w:hint="eastAsia"/>
          <w:color w:val="000000" w:themeColor="text1"/>
          <w:sz w:val="28"/>
          <w:szCs w:val="28"/>
        </w:rPr>
        <w:t>42.13</w:t>
      </w:r>
      <w:r w:rsidRPr="008673A3">
        <w:rPr>
          <w:rFonts w:ascii="仿宋" w:eastAsia="仿宋" w:hAnsi="仿宋" w:hint="eastAsia"/>
          <w:color w:val="000000" w:themeColor="text1"/>
          <w:sz w:val="28"/>
          <w:szCs w:val="28"/>
        </w:rPr>
        <w:t>%</w:t>
      </w:r>
      <w:r w:rsidR="006069D7" w:rsidRPr="008673A3">
        <w:rPr>
          <w:rFonts w:ascii="仿宋" w:eastAsia="仿宋" w:hAnsi="仿宋" w:hint="eastAsia"/>
          <w:color w:val="000000" w:themeColor="text1"/>
          <w:sz w:val="28"/>
          <w:szCs w:val="28"/>
        </w:rPr>
        <w:t>。</w:t>
      </w:r>
    </w:p>
    <w:p w:rsidR="006069D7" w:rsidRPr="0018122A" w:rsidRDefault="006069D7" w:rsidP="006069D7">
      <w:pPr>
        <w:pStyle w:val="2"/>
        <w:rPr>
          <w:rFonts w:hint="eastAsia"/>
          <w:color w:val="000000" w:themeColor="text1"/>
        </w:rPr>
      </w:pPr>
      <w:r w:rsidRPr="0018122A">
        <w:rPr>
          <w:rFonts w:hint="eastAsia"/>
          <w:color w:val="000000" w:themeColor="text1"/>
        </w:rPr>
        <w:t xml:space="preserve">    </w:t>
      </w:r>
      <w:bookmarkStart w:id="83" w:name="_Toc25137285"/>
      <w:r w:rsidRPr="009533D5">
        <w:rPr>
          <w:rFonts w:hint="eastAsia"/>
          <w:color w:val="000000" w:themeColor="text1"/>
        </w:rPr>
        <w:t>（七）卷宗归档工作</w:t>
      </w:r>
      <w:r w:rsidR="003E1ADB" w:rsidRPr="009533D5">
        <w:rPr>
          <w:rFonts w:hint="eastAsia"/>
          <w:color w:val="000000" w:themeColor="text1"/>
        </w:rPr>
        <w:t>效率</w:t>
      </w:r>
      <w:r w:rsidR="001A65AF">
        <w:rPr>
          <w:rFonts w:hint="eastAsia"/>
          <w:color w:val="000000" w:themeColor="text1"/>
        </w:rPr>
        <w:t>较好</w:t>
      </w:r>
      <w:bookmarkEnd w:id="83"/>
    </w:p>
    <w:p w:rsidR="006069D7" w:rsidRPr="0018122A" w:rsidRDefault="00673F60" w:rsidP="002952FF">
      <w:pPr>
        <w:spacing w:line="360" w:lineRule="auto"/>
        <w:ind w:firstLine="573"/>
        <w:rPr>
          <w:rFonts w:ascii="仿宋" w:eastAsia="仿宋" w:hAnsi="仿宋"/>
          <w:color w:val="000000" w:themeColor="text1"/>
          <w:sz w:val="28"/>
          <w:szCs w:val="28"/>
        </w:rPr>
      </w:pPr>
      <w:r>
        <w:rPr>
          <w:rFonts w:ascii="仿宋" w:eastAsia="仿宋" w:hAnsi="仿宋" w:hint="eastAsia"/>
          <w:color w:val="000000" w:themeColor="text1"/>
          <w:sz w:val="28"/>
          <w:szCs w:val="28"/>
        </w:rPr>
        <w:t>已结案件在一个月内均应归档完毕。</w:t>
      </w:r>
      <w:r w:rsidR="006069D7" w:rsidRPr="0018122A">
        <w:rPr>
          <w:rFonts w:ascii="仿宋" w:eastAsia="仿宋" w:hAnsi="仿宋" w:hint="eastAsia"/>
          <w:color w:val="000000" w:themeColor="text1"/>
          <w:sz w:val="28"/>
          <w:szCs w:val="28"/>
        </w:rPr>
        <w:t>截止</w:t>
      </w:r>
      <w:r w:rsidR="006F4CCD">
        <w:rPr>
          <w:rFonts w:ascii="仿宋" w:eastAsia="仿宋" w:hAnsi="仿宋" w:hint="eastAsia"/>
          <w:color w:val="000000" w:themeColor="text1"/>
          <w:sz w:val="28"/>
          <w:szCs w:val="28"/>
        </w:rPr>
        <w:t>9</w:t>
      </w:r>
      <w:r w:rsidR="001956CD">
        <w:rPr>
          <w:rFonts w:ascii="仿宋" w:eastAsia="仿宋" w:hAnsi="仿宋" w:hint="eastAsia"/>
          <w:color w:val="000000" w:themeColor="text1"/>
          <w:sz w:val="28"/>
          <w:szCs w:val="28"/>
        </w:rPr>
        <w:t>月</w:t>
      </w:r>
      <w:r w:rsidR="006F4CCD">
        <w:rPr>
          <w:rFonts w:ascii="仿宋" w:eastAsia="仿宋" w:hAnsi="仿宋" w:hint="eastAsia"/>
          <w:color w:val="000000" w:themeColor="text1"/>
          <w:sz w:val="28"/>
          <w:szCs w:val="28"/>
        </w:rPr>
        <w:t>30</w:t>
      </w:r>
      <w:r w:rsidR="001956CD">
        <w:rPr>
          <w:rFonts w:ascii="仿宋" w:eastAsia="仿宋" w:hAnsi="仿宋" w:hint="eastAsia"/>
          <w:color w:val="000000" w:themeColor="text1"/>
          <w:sz w:val="28"/>
          <w:szCs w:val="28"/>
        </w:rPr>
        <w:t>日</w:t>
      </w:r>
      <w:r w:rsidR="006069D7" w:rsidRPr="0018122A">
        <w:rPr>
          <w:rFonts w:ascii="仿宋" w:eastAsia="仿宋" w:hAnsi="仿宋" w:hint="eastAsia"/>
          <w:color w:val="000000" w:themeColor="text1"/>
          <w:sz w:val="28"/>
          <w:szCs w:val="28"/>
        </w:rPr>
        <w:t>，和龙法院超过1个月未归档案件</w:t>
      </w:r>
      <w:r w:rsidR="001A65AF">
        <w:rPr>
          <w:rFonts w:ascii="仿宋" w:eastAsia="仿宋" w:hAnsi="仿宋" w:hint="eastAsia"/>
          <w:color w:val="000000" w:themeColor="text1"/>
          <w:sz w:val="28"/>
          <w:szCs w:val="28"/>
        </w:rPr>
        <w:t>0</w:t>
      </w:r>
      <w:r w:rsidR="003E1ADB">
        <w:rPr>
          <w:rFonts w:ascii="仿宋" w:eastAsia="仿宋" w:hAnsi="仿宋" w:hint="eastAsia"/>
          <w:color w:val="000000" w:themeColor="text1"/>
          <w:sz w:val="28"/>
          <w:szCs w:val="28"/>
        </w:rPr>
        <w:t>件</w:t>
      </w:r>
      <w:r w:rsidR="006069D7" w:rsidRPr="0018122A">
        <w:rPr>
          <w:rFonts w:ascii="仿宋" w:eastAsia="仿宋" w:hAnsi="仿宋" w:hint="eastAsia"/>
          <w:color w:val="000000" w:themeColor="text1"/>
          <w:sz w:val="28"/>
          <w:szCs w:val="28"/>
        </w:rPr>
        <w:t>。</w:t>
      </w:r>
    </w:p>
    <w:p w:rsidR="00D43C66" w:rsidRPr="0018122A" w:rsidRDefault="00D43C66" w:rsidP="00D43C66">
      <w:pPr>
        <w:pStyle w:val="1"/>
        <w:rPr>
          <w:color w:val="000000" w:themeColor="text1"/>
        </w:rPr>
      </w:pPr>
      <w:r w:rsidRPr="0018122A">
        <w:rPr>
          <w:rFonts w:hint="eastAsia"/>
          <w:color w:val="000000" w:themeColor="text1"/>
        </w:rPr>
        <w:t xml:space="preserve">   </w:t>
      </w:r>
      <w:bookmarkStart w:id="84" w:name="_Toc25137286"/>
      <w:r w:rsidR="00C64016">
        <w:rPr>
          <w:rFonts w:hint="eastAsia"/>
          <w:color w:val="000000" w:themeColor="text1"/>
        </w:rPr>
        <w:t>八</w:t>
      </w:r>
      <w:r w:rsidRPr="0018122A">
        <w:rPr>
          <w:rFonts w:hint="eastAsia"/>
          <w:color w:val="000000" w:themeColor="text1"/>
        </w:rPr>
        <w:t>、下一步审判执行工作</w:t>
      </w:r>
      <w:r w:rsidR="002952FF">
        <w:rPr>
          <w:rFonts w:hint="eastAsia"/>
          <w:color w:val="000000" w:themeColor="text1"/>
        </w:rPr>
        <w:t>的</w:t>
      </w:r>
      <w:r w:rsidRPr="0018122A">
        <w:rPr>
          <w:rFonts w:hint="eastAsia"/>
          <w:color w:val="000000" w:themeColor="text1"/>
        </w:rPr>
        <w:t>建议</w:t>
      </w:r>
      <w:bookmarkEnd w:id="84"/>
    </w:p>
    <w:p w:rsidR="00D43C66" w:rsidRPr="00D43C66" w:rsidRDefault="00D43C66" w:rsidP="00D43C66">
      <w:pPr>
        <w:ind w:firstLineChars="200" w:firstLine="560"/>
        <w:rPr>
          <w:rFonts w:ascii="仿宋" w:eastAsia="仿宋" w:hAnsi="仿宋"/>
          <w:color w:val="000000" w:themeColor="text1"/>
          <w:sz w:val="28"/>
          <w:szCs w:val="28"/>
        </w:rPr>
      </w:pPr>
      <w:r w:rsidRPr="0018122A">
        <w:rPr>
          <w:rFonts w:ascii="仿宋" w:eastAsia="仿宋" w:hAnsi="仿宋" w:hint="eastAsia"/>
          <w:color w:val="000000" w:themeColor="text1"/>
          <w:sz w:val="28"/>
          <w:szCs w:val="28"/>
        </w:rPr>
        <w:t>201</w:t>
      </w:r>
      <w:r>
        <w:rPr>
          <w:rFonts w:ascii="仿宋" w:eastAsia="仿宋" w:hAnsi="仿宋" w:hint="eastAsia"/>
          <w:color w:val="000000" w:themeColor="text1"/>
          <w:sz w:val="28"/>
          <w:szCs w:val="28"/>
        </w:rPr>
        <w:t>9</w:t>
      </w:r>
      <w:r w:rsidRPr="0018122A">
        <w:rPr>
          <w:rFonts w:ascii="仿宋" w:eastAsia="仿宋" w:hAnsi="仿宋" w:hint="eastAsia"/>
          <w:color w:val="000000" w:themeColor="text1"/>
          <w:sz w:val="28"/>
          <w:szCs w:val="28"/>
        </w:rPr>
        <w:t>年和龙法院受案数量仍将持续上升，办案压力仍然较大，审判执行工作中存在一些问题。</w:t>
      </w:r>
    </w:p>
    <w:p w:rsidR="006069D7" w:rsidRPr="0018122A" w:rsidRDefault="006069D7" w:rsidP="006069D7">
      <w:pPr>
        <w:pStyle w:val="2"/>
        <w:rPr>
          <w:rFonts w:hint="eastAsia"/>
          <w:color w:val="000000" w:themeColor="text1"/>
        </w:rPr>
      </w:pPr>
      <w:r w:rsidRPr="0018122A">
        <w:rPr>
          <w:rFonts w:hint="eastAsia"/>
          <w:color w:val="000000" w:themeColor="text1"/>
        </w:rPr>
        <w:t xml:space="preserve">    </w:t>
      </w:r>
      <w:bookmarkStart w:id="85" w:name="_Toc25137287"/>
      <w:r w:rsidRPr="0018122A">
        <w:rPr>
          <w:rFonts w:hint="eastAsia"/>
          <w:color w:val="000000" w:themeColor="text1"/>
        </w:rPr>
        <w:t>（</w:t>
      </w:r>
      <w:r w:rsidR="002952FF">
        <w:rPr>
          <w:rFonts w:hint="eastAsia"/>
          <w:color w:val="000000" w:themeColor="text1"/>
        </w:rPr>
        <w:t>一</w:t>
      </w:r>
      <w:r w:rsidRPr="0018122A">
        <w:rPr>
          <w:rFonts w:hint="eastAsia"/>
          <w:color w:val="000000" w:themeColor="text1"/>
        </w:rPr>
        <w:t>）以审判绩效考核为统领，进一步抓实审判执行工作</w:t>
      </w:r>
      <w:bookmarkEnd w:id="85"/>
    </w:p>
    <w:p w:rsidR="006069D7" w:rsidRPr="0018122A" w:rsidRDefault="006069D7" w:rsidP="006069D7">
      <w:pPr>
        <w:ind w:firstLine="645"/>
        <w:rPr>
          <w:rFonts w:ascii="仿宋" w:eastAsia="仿宋" w:hAnsi="仿宋"/>
          <w:color w:val="000000" w:themeColor="text1"/>
          <w:sz w:val="28"/>
          <w:szCs w:val="28"/>
        </w:rPr>
      </w:pPr>
      <w:r w:rsidRPr="0018122A">
        <w:rPr>
          <w:rFonts w:ascii="仿宋" w:eastAsia="仿宋" w:hAnsi="仿宋" w:hint="eastAsia"/>
          <w:color w:val="000000" w:themeColor="text1"/>
          <w:sz w:val="28"/>
          <w:szCs w:val="28"/>
        </w:rPr>
        <w:t>审判绩效考核对审判执行工作的推动作用明显，取得了阶段性成效。应进一步树牢审判绩效考核导向，更好地发挥审判绩效考核“指挥棒”作用，推进审判执行工作更好地发展。积极学习研究州法院</w:t>
      </w:r>
      <w:r w:rsidR="006648F9" w:rsidRPr="0018122A">
        <w:rPr>
          <w:rFonts w:ascii="仿宋" w:eastAsia="仿宋" w:hAnsi="仿宋" w:hint="eastAsia"/>
          <w:color w:val="000000" w:themeColor="text1"/>
          <w:sz w:val="28"/>
          <w:szCs w:val="28"/>
        </w:rPr>
        <w:t>2019</w:t>
      </w:r>
      <w:r w:rsidRPr="0018122A">
        <w:rPr>
          <w:rFonts w:ascii="仿宋" w:eastAsia="仿宋" w:hAnsi="仿宋" w:hint="eastAsia"/>
          <w:color w:val="000000" w:themeColor="text1"/>
          <w:sz w:val="28"/>
          <w:szCs w:val="28"/>
        </w:rPr>
        <w:t>年审判绩效考核指标新增考核项目及考核分值变化。现在就要最大限度凝聚审判一线法官的智慧，研究如何进行科学化、精准化调度，抓实审判执行工作，力争审判绩效考核加分不扣分。</w:t>
      </w:r>
    </w:p>
    <w:p w:rsidR="006069D7" w:rsidRPr="0018122A" w:rsidRDefault="006069D7" w:rsidP="006069D7">
      <w:pPr>
        <w:pStyle w:val="2"/>
        <w:rPr>
          <w:rFonts w:hint="eastAsia"/>
          <w:color w:val="000000" w:themeColor="text1"/>
        </w:rPr>
      </w:pPr>
      <w:r w:rsidRPr="0018122A">
        <w:rPr>
          <w:rFonts w:hint="eastAsia"/>
          <w:color w:val="000000" w:themeColor="text1"/>
        </w:rPr>
        <w:t xml:space="preserve">    </w:t>
      </w:r>
      <w:bookmarkStart w:id="86" w:name="_Toc25137288"/>
      <w:r w:rsidRPr="0018122A">
        <w:rPr>
          <w:rFonts w:hint="eastAsia"/>
          <w:color w:val="000000" w:themeColor="text1"/>
        </w:rPr>
        <w:t>（</w:t>
      </w:r>
      <w:r w:rsidR="002952FF">
        <w:rPr>
          <w:rFonts w:hint="eastAsia"/>
          <w:color w:val="000000" w:themeColor="text1"/>
        </w:rPr>
        <w:t>二</w:t>
      </w:r>
      <w:r w:rsidRPr="0018122A">
        <w:rPr>
          <w:rFonts w:hint="eastAsia"/>
          <w:color w:val="000000" w:themeColor="text1"/>
        </w:rPr>
        <w:t>）以审判质效提升为关键，进一步提质增效</w:t>
      </w:r>
      <w:bookmarkEnd w:id="86"/>
    </w:p>
    <w:p w:rsidR="006069D7" w:rsidRPr="0018122A" w:rsidRDefault="006069D7" w:rsidP="006069D7">
      <w:pPr>
        <w:pStyle w:val="3"/>
        <w:rPr>
          <w:color w:val="000000" w:themeColor="text1"/>
        </w:rPr>
      </w:pPr>
      <w:r w:rsidRPr="0018122A">
        <w:rPr>
          <w:rFonts w:hint="eastAsia"/>
          <w:color w:val="000000" w:themeColor="text1"/>
        </w:rPr>
        <w:t xml:space="preserve">    </w:t>
      </w:r>
      <w:bookmarkStart w:id="87" w:name="_Toc25137289"/>
      <w:r w:rsidRPr="0018122A">
        <w:rPr>
          <w:rFonts w:hint="eastAsia"/>
          <w:color w:val="000000" w:themeColor="text1"/>
        </w:rPr>
        <w:t>1</w:t>
      </w:r>
      <w:r w:rsidRPr="0018122A">
        <w:rPr>
          <w:rFonts w:hint="eastAsia"/>
          <w:color w:val="000000" w:themeColor="text1"/>
        </w:rPr>
        <w:t>、进一步提高审判质量</w:t>
      </w:r>
      <w:bookmarkEnd w:id="87"/>
    </w:p>
    <w:p w:rsidR="006069D7" w:rsidRPr="0018122A" w:rsidRDefault="006069D7" w:rsidP="006069D7">
      <w:pPr>
        <w:ind w:firstLineChars="196" w:firstLine="549"/>
        <w:rPr>
          <w:rFonts w:ascii="仿宋" w:eastAsia="仿宋" w:hAnsi="仿宋" w:cs="仿宋_GB2312"/>
          <w:color w:val="000000" w:themeColor="text1"/>
          <w:sz w:val="28"/>
          <w:szCs w:val="28"/>
        </w:rPr>
      </w:pPr>
      <w:r w:rsidRPr="0018122A">
        <w:rPr>
          <w:rFonts w:ascii="仿宋" w:eastAsia="仿宋" w:hAnsi="仿宋" w:cs="仿宋_GB2312" w:hint="eastAsia"/>
          <w:color w:val="000000" w:themeColor="text1"/>
          <w:sz w:val="28"/>
          <w:szCs w:val="28"/>
        </w:rPr>
        <w:t>全体员额法官应进一步增强质量意识、效果意识，重视服判息诉工作，要进一步加强审判质量，及时总结分析当事人上诉原因，加大调解力度，积极做好释法明理工作，提高一审案件服判息诉率，努力在一审实现“案结事了”，最大限度避免矛盾上移，各审判业务部门要</w:t>
      </w:r>
      <w:proofErr w:type="gramStart"/>
      <w:r w:rsidRPr="0018122A">
        <w:rPr>
          <w:rFonts w:ascii="仿宋" w:eastAsia="仿宋" w:hAnsi="仿宋" w:cs="仿宋_GB2312" w:hint="eastAsia"/>
          <w:color w:val="000000" w:themeColor="text1"/>
          <w:sz w:val="28"/>
          <w:szCs w:val="28"/>
        </w:rPr>
        <w:t>规范类案指引</w:t>
      </w:r>
      <w:proofErr w:type="gramEnd"/>
      <w:r w:rsidRPr="0018122A">
        <w:rPr>
          <w:rFonts w:ascii="仿宋" w:eastAsia="仿宋" w:hAnsi="仿宋" w:cs="仿宋_GB2312" w:hint="eastAsia"/>
          <w:color w:val="000000" w:themeColor="text1"/>
          <w:sz w:val="28"/>
          <w:szCs w:val="28"/>
        </w:rPr>
        <w:t>，</w:t>
      </w:r>
      <w:proofErr w:type="gramStart"/>
      <w:r w:rsidRPr="0018122A">
        <w:rPr>
          <w:rFonts w:ascii="仿宋" w:eastAsia="仿宋" w:hAnsi="仿宋" w:cs="仿宋_GB2312" w:hint="eastAsia"/>
          <w:color w:val="000000" w:themeColor="text1"/>
          <w:sz w:val="28"/>
          <w:szCs w:val="28"/>
        </w:rPr>
        <w:t>提高类案同</w:t>
      </w:r>
      <w:proofErr w:type="gramEnd"/>
      <w:r w:rsidRPr="0018122A">
        <w:rPr>
          <w:rFonts w:ascii="仿宋" w:eastAsia="仿宋" w:hAnsi="仿宋" w:cs="仿宋_GB2312" w:hint="eastAsia"/>
          <w:color w:val="000000" w:themeColor="text1"/>
          <w:sz w:val="28"/>
          <w:szCs w:val="28"/>
        </w:rPr>
        <w:t>判水平；大力推进裁判文书评查、案件质量评查等专项评查、重点评查工作，全面提升审判质量、效率及效果。</w:t>
      </w:r>
    </w:p>
    <w:p w:rsidR="006069D7" w:rsidRPr="0018122A" w:rsidRDefault="006069D7" w:rsidP="006069D7">
      <w:pPr>
        <w:pStyle w:val="3"/>
        <w:rPr>
          <w:color w:val="000000" w:themeColor="text1"/>
        </w:rPr>
      </w:pPr>
      <w:r w:rsidRPr="0018122A">
        <w:rPr>
          <w:rFonts w:hint="eastAsia"/>
          <w:color w:val="000000" w:themeColor="text1"/>
        </w:rPr>
        <w:t xml:space="preserve">    </w:t>
      </w:r>
      <w:bookmarkStart w:id="88" w:name="_Toc25137290"/>
      <w:r w:rsidRPr="0018122A">
        <w:rPr>
          <w:rFonts w:hint="eastAsia"/>
          <w:color w:val="000000" w:themeColor="text1"/>
        </w:rPr>
        <w:t>2</w:t>
      </w:r>
      <w:r w:rsidRPr="0018122A">
        <w:rPr>
          <w:rFonts w:hint="eastAsia"/>
          <w:color w:val="000000" w:themeColor="text1"/>
        </w:rPr>
        <w:t>、大力提高诉讼案件审判效率</w:t>
      </w:r>
      <w:bookmarkEnd w:id="88"/>
    </w:p>
    <w:p w:rsidR="006069D7" w:rsidRPr="0018122A" w:rsidRDefault="003B4509" w:rsidP="006069D7">
      <w:pPr>
        <w:spacing w:line="360" w:lineRule="auto"/>
        <w:ind w:firstLine="570"/>
        <w:rPr>
          <w:rFonts w:ascii="仿宋" w:eastAsia="仿宋" w:hAnsi="仿宋" w:cs="仿宋_GB2312"/>
          <w:color w:val="000000" w:themeColor="text1"/>
          <w:sz w:val="28"/>
          <w:szCs w:val="28"/>
        </w:rPr>
      </w:pPr>
      <w:r>
        <w:rPr>
          <w:rFonts w:ascii="仿宋" w:eastAsia="仿宋" w:hAnsi="仿宋" w:cs="仿宋_GB2312" w:hint="eastAsia"/>
          <w:color w:val="000000" w:themeColor="text1"/>
          <w:sz w:val="28"/>
          <w:szCs w:val="28"/>
        </w:rPr>
        <w:t>1-</w:t>
      </w:r>
      <w:r w:rsidR="00074427">
        <w:rPr>
          <w:rFonts w:ascii="仿宋" w:eastAsia="仿宋" w:hAnsi="仿宋" w:cs="仿宋_GB2312" w:hint="eastAsia"/>
          <w:color w:val="000000" w:themeColor="text1"/>
          <w:sz w:val="28"/>
          <w:szCs w:val="28"/>
        </w:rPr>
        <w:t>9</w:t>
      </w:r>
      <w:r w:rsidR="0018473B">
        <w:rPr>
          <w:rFonts w:ascii="仿宋" w:eastAsia="仿宋" w:hAnsi="仿宋" w:cs="仿宋_GB2312" w:hint="eastAsia"/>
          <w:color w:val="000000" w:themeColor="text1"/>
          <w:sz w:val="28"/>
          <w:szCs w:val="28"/>
        </w:rPr>
        <w:t>月</w:t>
      </w:r>
      <w:r w:rsidR="006069D7" w:rsidRPr="0018122A">
        <w:rPr>
          <w:rFonts w:ascii="仿宋" w:eastAsia="仿宋" w:hAnsi="仿宋" w:cs="仿宋_GB2312" w:hint="eastAsia"/>
          <w:color w:val="000000" w:themeColor="text1"/>
          <w:sz w:val="28"/>
          <w:szCs w:val="28"/>
        </w:rPr>
        <w:t>诉讼、执行案件结案率</w:t>
      </w:r>
      <w:r w:rsidR="00074427">
        <w:rPr>
          <w:rFonts w:ascii="仿宋" w:eastAsia="仿宋" w:hAnsi="仿宋" w:cs="仿宋_GB2312" w:hint="eastAsia"/>
          <w:color w:val="000000" w:themeColor="text1"/>
          <w:sz w:val="28"/>
          <w:szCs w:val="28"/>
        </w:rPr>
        <w:t>82.74</w:t>
      </w:r>
      <w:r w:rsidR="006069D7" w:rsidRPr="0018122A">
        <w:rPr>
          <w:rFonts w:ascii="仿宋" w:eastAsia="仿宋" w:hAnsi="仿宋" w:cs="仿宋_GB2312" w:hint="eastAsia"/>
          <w:color w:val="000000" w:themeColor="text1"/>
          <w:sz w:val="28"/>
          <w:szCs w:val="28"/>
        </w:rPr>
        <w:t>%，同比上升了</w:t>
      </w:r>
      <w:r w:rsidR="00074427">
        <w:rPr>
          <w:rFonts w:ascii="仿宋" w:eastAsia="仿宋" w:hAnsi="仿宋" w:cs="仿宋_GB2312" w:hint="eastAsia"/>
          <w:color w:val="000000" w:themeColor="text1"/>
          <w:sz w:val="28"/>
          <w:szCs w:val="28"/>
        </w:rPr>
        <w:t>4.81</w:t>
      </w:r>
      <w:r w:rsidR="006069D7" w:rsidRPr="0018122A">
        <w:rPr>
          <w:rFonts w:ascii="仿宋" w:eastAsia="仿宋" w:hAnsi="仿宋" w:cs="仿宋_GB2312" w:hint="eastAsia"/>
          <w:color w:val="000000" w:themeColor="text1"/>
          <w:sz w:val="28"/>
          <w:szCs w:val="28"/>
        </w:rPr>
        <w:t>个百分点，其中执行案件结案率</w:t>
      </w:r>
      <w:r w:rsidR="00074427">
        <w:rPr>
          <w:rFonts w:ascii="仿宋" w:eastAsia="仿宋" w:hAnsi="仿宋" w:cs="仿宋_GB2312" w:hint="eastAsia"/>
          <w:color w:val="000000" w:themeColor="text1"/>
          <w:sz w:val="28"/>
          <w:szCs w:val="28"/>
        </w:rPr>
        <w:t>80.93</w:t>
      </w:r>
      <w:r w:rsidR="006069D7" w:rsidRPr="0018122A">
        <w:rPr>
          <w:rFonts w:ascii="仿宋" w:eastAsia="仿宋" w:hAnsi="仿宋" w:cs="仿宋_GB2312" w:hint="eastAsia"/>
          <w:color w:val="000000" w:themeColor="text1"/>
          <w:sz w:val="28"/>
          <w:szCs w:val="28"/>
        </w:rPr>
        <w:t>%，同比上升了</w:t>
      </w:r>
      <w:r w:rsidR="00074427">
        <w:rPr>
          <w:rFonts w:ascii="仿宋" w:eastAsia="仿宋" w:hAnsi="仿宋" w:cs="仿宋_GB2312" w:hint="eastAsia"/>
          <w:color w:val="000000" w:themeColor="text1"/>
          <w:sz w:val="28"/>
          <w:szCs w:val="28"/>
        </w:rPr>
        <w:t>6.74</w:t>
      </w:r>
      <w:r w:rsidR="006069D7" w:rsidRPr="0018122A">
        <w:rPr>
          <w:rFonts w:ascii="仿宋" w:eastAsia="仿宋" w:hAnsi="仿宋" w:cs="仿宋_GB2312" w:hint="eastAsia"/>
          <w:color w:val="000000" w:themeColor="text1"/>
          <w:sz w:val="28"/>
          <w:szCs w:val="28"/>
        </w:rPr>
        <w:t>个百分点，其中诉讼案件结案率为</w:t>
      </w:r>
      <w:r w:rsidR="00074427">
        <w:rPr>
          <w:rFonts w:ascii="仿宋" w:eastAsia="仿宋" w:hAnsi="仿宋" w:cs="仿宋_GB2312" w:hint="eastAsia"/>
          <w:color w:val="000000" w:themeColor="text1"/>
          <w:sz w:val="28"/>
          <w:szCs w:val="28"/>
        </w:rPr>
        <w:t>83.70</w:t>
      </w:r>
      <w:r w:rsidR="006069D7" w:rsidRPr="0018122A">
        <w:rPr>
          <w:rFonts w:ascii="仿宋" w:eastAsia="仿宋" w:hAnsi="仿宋" w:cs="仿宋_GB2312" w:hint="eastAsia"/>
          <w:color w:val="000000" w:themeColor="text1"/>
          <w:sz w:val="28"/>
          <w:szCs w:val="28"/>
        </w:rPr>
        <w:t>%，</w:t>
      </w:r>
      <w:r w:rsidR="00B558A3">
        <w:rPr>
          <w:rFonts w:ascii="仿宋" w:eastAsia="仿宋" w:hAnsi="仿宋" w:cs="仿宋_GB2312" w:hint="eastAsia"/>
          <w:color w:val="000000" w:themeColor="text1"/>
          <w:sz w:val="28"/>
          <w:szCs w:val="28"/>
        </w:rPr>
        <w:t>上升</w:t>
      </w:r>
      <w:r w:rsidR="00074427">
        <w:rPr>
          <w:rFonts w:ascii="仿宋" w:eastAsia="仿宋" w:hAnsi="仿宋" w:cs="仿宋_GB2312" w:hint="eastAsia"/>
          <w:color w:val="000000" w:themeColor="text1"/>
          <w:sz w:val="28"/>
          <w:szCs w:val="28"/>
        </w:rPr>
        <w:t>3.36</w:t>
      </w:r>
      <w:r w:rsidR="00A43810" w:rsidRPr="0018122A">
        <w:rPr>
          <w:rFonts w:ascii="仿宋" w:eastAsia="仿宋" w:hAnsi="仿宋" w:cs="仿宋_GB2312" w:hint="eastAsia"/>
          <w:color w:val="000000" w:themeColor="text1"/>
          <w:sz w:val="28"/>
          <w:szCs w:val="28"/>
        </w:rPr>
        <w:t>个百分点。</w:t>
      </w:r>
      <w:r w:rsidR="006069D7" w:rsidRPr="0018122A">
        <w:rPr>
          <w:rFonts w:ascii="仿宋" w:eastAsia="仿宋" w:hAnsi="仿宋" w:cs="仿宋_GB2312" w:hint="eastAsia"/>
          <w:color w:val="000000" w:themeColor="text1"/>
          <w:sz w:val="28"/>
          <w:szCs w:val="28"/>
        </w:rPr>
        <w:t>员额法官应该充分把握现有的时间节点和审判态势发展，在结案率的指标数据上把目光聚焦</w:t>
      </w:r>
      <w:proofErr w:type="gramStart"/>
      <w:r w:rsidR="006069D7" w:rsidRPr="0018122A">
        <w:rPr>
          <w:rFonts w:ascii="仿宋" w:eastAsia="仿宋" w:hAnsi="仿宋" w:cs="仿宋_GB2312" w:hint="eastAsia"/>
          <w:color w:val="000000" w:themeColor="text1"/>
          <w:sz w:val="28"/>
          <w:szCs w:val="28"/>
        </w:rPr>
        <w:t>在</w:t>
      </w:r>
      <w:r w:rsidR="006909E4" w:rsidRPr="0018122A">
        <w:rPr>
          <w:rFonts w:ascii="仿宋" w:eastAsia="仿宋" w:hAnsi="仿宋" w:cs="仿宋_GB2312" w:hint="eastAsia"/>
          <w:color w:val="000000" w:themeColor="text1"/>
          <w:sz w:val="28"/>
          <w:szCs w:val="28"/>
        </w:rPr>
        <w:t>结收比</w:t>
      </w:r>
      <w:proofErr w:type="gramEnd"/>
      <w:r w:rsidR="006069D7" w:rsidRPr="0018122A">
        <w:rPr>
          <w:rFonts w:ascii="仿宋" w:eastAsia="仿宋" w:hAnsi="仿宋" w:cs="仿宋_GB2312" w:hint="eastAsia"/>
          <w:color w:val="000000" w:themeColor="text1"/>
          <w:sz w:val="28"/>
          <w:szCs w:val="28"/>
        </w:rPr>
        <w:t>变化上，而不是结案率的变化</w:t>
      </w:r>
      <w:r w:rsidR="005971A8" w:rsidRPr="0018122A">
        <w:rPr>
          <w:rFonts w:ascii="仿宋" w:eastAsia="仿宋" w:hAnsi="仿宋" w:cs="仿宋_GB2312" w:hint="eastAsia"/>
          <w:color w:val="000000" w:themeColor="text1"/>
          <w:sz w:val="28"/>
          <w:szCs w:val="28"/>
        </w:rPr>
        <w:t>上</w:t>
      </w:r>
      <w:r w:rsidR="006069D7" w:rsidRPr="0018122A">
        <w:rPr>
          <w:rFonts w:ascii="仿宋" w:eastAsia="仿宋" w:hAnsi="仿宋" w:cs="仿宋_GB2312" w:hint="eastAsia"/>
          <w:color w:val="000000" w:themeColor="text1"/>
          <w:sz w:val="28"/>
          <w:szCs w:val="28"/>
        </w:rPr>
        <w:t>，切实提高审判效率。</w:t>
      </w:r>
      <w:r w:rsidR="00E23E62" w:rsidRPr="0018122A">
        <w:rPr>
          <w:rFonts w:ascii="仿宋" w:eastAsia="仿宋" w:hAnsi="仿宋" w:cs="仿宋_GB2312" w:hint="eastAsia"/>
          <w:color w:val="000000" w:themeColor="text1"/>
          <w:sz w:val="28"/>
          <w:szCs w:val="28"/>
        </w:rPr>
        <w:t>员额法官</w:t>
      </w:r>
      <w:r w:rsidR="006069D7" w:rsidRPr="0018122A">
        <w:rPr>
          <w:rFonts w:ascii="仿宋" w:eastAsia="仿宋" w:hAnsi="仿宋" w:cs="仿宋_GB2312" w:hint="eastAsia"/>
          <w:color w:val="000000" w:themeColor="text1"/>
          <w:sz w:val="28"/>
          <w:szCs w:val="28"/>
        </w:rPr>
        <w:t>应继续保持高结案率的同时，加大针对审判质量、效果的管控，审慎对待终审案件，判后答疑等工作需要做足、做细。</w:t>
      </w:r>
    </w:p>
    <w:p w:rsidR="006069D7" w:rsidRPr="0018122A" w:rsidRDefault="006069D7" w:rsidP="006069D7">
      <w:pPr>
        <w:pStyle w:val="2"/>
        <w:rPr>
          <w:rFonts w:hint="eastAsia"/>
          <w:color w:val="000000" w:themeColor="text1"/>
        </w:rPr>
      </w:pPr>
      <w:r w:rsidRPr="0018122A">
        <w:rPr>
          <w:rFonts w:hint="eastAsia"/>
          <w:color w:val="000000" w:themeColor="text1"/>
        </w:rPr>
        <w:t xml:space="preserve">    </w:t>
      </w:r>
      <w:bookmarkStart w:id="89" w:name="_Toc25137291"/>
      <w:r w:rsidRPr="0018122A">
        <w:rPr>
          <w:rFonts w:hint="eastAsia"/>
          <w:color w:val="000000" w:themeColor="text1"/>
        </w:rPr>
        <w:t>（</w:t>
      </w:r>
      <w:r w:rsidR="002952FF">
        <w:rPr>
          <w:rFonts w:hint="eastAsia"/>
          <w:color w:val="000000" w:themeColor="text1"/>
        </w:rPr>
        <w:t>三</w:t>
      </w:r>
      <w:r w:rsidRPr="0018122A">
        <w:rPr>
          <w:rFonts w:hint="eastAsia"/>
          <w:color w:val="000000" w:themeColor="text1"/>
        </w:rPr>
        <w:t>）以智慧法院深度应用为抓手，进一步提高服务法官和诉讼参与人的能力</w:t>
      </w:r>
      <w:bookmarkEnd w:id="89"/>
    </w:p>
    <w:p w:rsidR="006069D7" w:rsidRPr="0018122A" w:rsidRDefault="006069D7" w:rsidP="006069D7">
      <w:pPr>
        <w:pStyle w:val="3"/>
        <w:rPr>
          <w:color w:val="000000" w:themeColor="text1"/>
        </w:rPr>
      </w:pPr>
      <w:r w:rsidRPr="0018122A">
        <w:rPr>
          <w:rFonts w:hint="eastAsia"/>
          <w:color w:val="000000" w:themeColor="text1"/>
        </w:rPr>
        <w:t xml:space="preserve">    </w:t>
      </w:r>
      <w:bookmarkStart w:id="90" w:name="_Toc25137292"/>
      <w:r w:rsidRPr="0018122A">
        <w:rPr>
          <w:rFonts w:hint="eastAsia"/>
          <w:color w:val="000000" w:themeColor="text1"/>
        </w:rPr>
        <w:t>1</w:t>
      </w:r>
      <w:r w:rsidRPr="0018122A">
        <w:rPr>
          <w:rFonts w:hint="eastAsia"/>
          <w:color w:val="000000" w:themeColor="text1"/>
        </w:rPr>
        <w:t>、加快推进电子卷宗同步生成和深度应用工作</w:t>
      </w:r>
      <w:bookmarkEnd w:id="90"/>
    </w:p>
    <w:p w:rsidR="006069D7" w:rsidRPr="0018122A" w:rsidRDefault="000557FA" w:rsidP="006069D7">
      <w:pPr>
        <w:spacing w:line="540" w:lineRule="exact"/>
        <w:ind w:firstLineChars="200" w:firstLine="560"/>
        <w:rPr>
          <w:rFonts w:ascii="仿宋" w:eastAsia="仿宋" w:hAnsi="仿宋"/>
          <w:color w:val="000000" w:themeColor="text1"/>
          <w:sz w:val="28"/>
          <w:szCs w:val="28"/>
        </w:rPr>
      </w:pPr>
      <w:r w:rsidRPr="0018122A">
        <w:rPr>
          <w:rFonts w:ascii="仿宋" w:eastAsia="仿宋" w:hAnsi="仿宋" w:hint="eastAsia"/>
          <w:color w:val="000000" w:themeColor="text1"/>
          <w:sz w:val="28"/>
          <w:szCs w:val="28"/>
        </w:rPr>
        <w:t>截止</w:t>
      </w:r>
      <w:r w:rsidR="00074427">
        <w:rPr>
          <w:rFonts w:ascii="仿宋" w:eastAsia="仿宋" w:hAnsi="仿宋" w:hint="eastAsia"/>
          <w:color w:val="000000" w:themeColor="text1"/>
          <w:sz w:val="28"/>
          <w:szCs w:val="28"/>
        </w:rPr>
        <w:t>9</w:t>
      </w:r>
      <w:r w:rsidR="001956CD">
        <w:rPr>
          <w:rFonts w:ascii="仿宋" w:eastAsia="仿宋" w:hAnsi="仿宋" w:hint="eastAsia"/>
          <w:color w:val="000000" w:themeColor="text1"/>
          <w:sz w:val="28"/>
          <w:szCs w:val="28"/>
        </w:rPr>
        <w:t>月3</w:t>
      </w:r>
      <w:r w:rsidR="00074427">
        <w:rPr>
          <w:rFonts w:ascii="仿宋" w:eastAsia="仿宋" w:hAnsi="仿宋" w:hint="eastAsia"/>
          <w:color w:val="000000" w:themeColor="text1"/>
          <w:sz w:val="28"/>
          <w:szCs w:val="28"/>
        </w:rPr>
        <w:t>0</w:t>
      </w:r>
      <w:r w:rsidR="001956CD">
        <w:rPr>
          <w:rFonts w:ascii="仿宋" w:eastAsia="仿宋" w:hAnsi="仿宋" w:hint="eastAsia"/>
          <w:color w:val="000000" w:themeColor="text1"/>
          <w:sz w:val="28"/>
          <w:szCs w:val="28"/>
        </w:rPr>
        <w:t>日</w:t>
      </w:r>
      <w:r w:rsidRPr="0018122A">
        <w:rPr>
          <w:rFonts w:ascii="仿宋" w:eastAsia="仿宋" w:hAnsi="仿宋" w:hint="eastAsia"/>
          <w:color w:val="000000" w:themeColor="text1"/>
          <w:sz w:val="28"/>
          <w:szCs w:val="28"/>
        </w:rPr>
        <w:t>，生成电子卷宗件</w:t>
      </w:r>
      <w:r w:rsidR="00074427">
        <w:rPr>
          <w:rFonts w:ascii="仿宋" w:eastAsia="仿宋" w:hAnsi="仿宋" w:hint="eastAsia"/>
          <w:color w:val="000000" w:themeColor="text1"/>
          <w:sz w:val="28"/>
          <w:szCs w:val="28"/>
        </w:rPr>
        <w:t>1258</w:t>
      </w:r>
      <w:r w:rsidR="00890203" w:rsidRPr="0018122A">
        <w:rPr>
          <w:rFonts w:ascii="仿宋" w:eastAsia="仿宋" w:hAnsi="仿宋" w:hint="eastAsia"/>
          <w:color w:val="000000" w:themeColor="text1"/>
          <w:sz w:val="28"/>
          <w:szCs w:val="28"/>
        </w:rPr>
        <w:t>件</w:t>
      </w:r>
      <w:r w:rsidRPr="0018122A">
        <w:rPr>
          <w:rFonts w:ascii="仿宋" w:eastAsia="仿宋" w:hAnsi="仿宋" w:hint="eastAsia"/>
          <w:color w:val="000000" w:themeColor="text1"/>
          <w:sz w:val="28"/>
          <w:szCs w:val="28"/>
        </w:rPr>
        <w:t>，</w:t>
      </w:r>
      <w:r w:rsidR="00890203" w:rsidRPr="0018122A">
        <w:rPr>
          <w:rFonts w:ascii="仿宋" w:eastAsia="仿宋" w:hAnsi="仿宋" w:hint="eastAsia"/>
          <w:color w:val="000000" w:themeColor="text1"/>
          <w:sz w:val="28"/>
          <w:szCs w:val="28"/>
        </w:rPr>
        <w:t>同步生率100.00%，继续探索电子卷宗深度应用工作</w:t>
      </w:r>
      <w:r w:rsidR="00AC743A" w:rsidRPr="0018122A">
        <w:rPr>
          <w:rFonts w:ascii="仿宋" w:eastAsia="仿宋" w:hAnsi="仿宋" w:hint="eastAsia"/>
          <w:color w:val="000000" w:themeColor="text1"/>
          <w:sz w:val="28"/>
          <w:szCs w:val="28"/>
        </w:rPr>
        <w:t>，各</w:t>
      </w:r>
      <w:r w:rsidR="001C7CA6" w:rsidRPr="0018122A">
        <w:rPr>
          <w:rFonts w:ascii="仿宋" w:eastAsia="仿宋" w:hAnsi="仿宋" w:hint="eastAsia"/>
          <w:color w:val="000000" w:themeColor="text1"/>
          <w:sz w:val="28"/>
          <w:szCs w:val="28"/>
        </w:rPr>
        <w:t>员额法官放下畏难情绪，主动</w:t>
      </w:r>
      <w:r w:rsidR="00890203" w:rsidRPr="0018122A">
        <w:rPr>
          <w:rFonts w:ascii="仿宋" w:eastAsia="仿宋" w:hAnsi="仿宋" w:hint="eastAsia"/>
          <w:color w:val="000000" w:themeColor="text1"/>
          <w:sz w:val="28"/>
          <w:szCs w:val="28"/>
        </w:rPr>
        <w:t>加强智能</w:t>
      </w:r>
      <w:r w:rsidR="001C7CA6" w:rsidRPr="0018122A">
        <w:rPr>
          <w:rFonts w:ascii="仿宋" w:eastAsia="仿宋" w:hAnsi="仿宋" w:hint="eastAsia"/>
          <w:color w:val="000000" w:themeColor="text1"/>
          <w:sz w:val="28"/>
          <w:szCs w:val="28"/>
        </w:rPr>
        <w:t>文书软件使用。</w:t>
      </w:r>
      <w:r w:rsidR="006069D7" w:rsidRPr="0018122A">
        <w:rPr>
          <w:rFonts w:ascii="仿宋" w:eastAsia="仿宋" w:hAnsi="仿宋" w:hint="eastAsia"/>
          <w:color w:val="000000" w:themeColor="text1"/>
          <w:sz w:val="28"/>
          <w:szCs w:val="28"/>
        </w:rPr>
        <w:t xml:space="preserve"> </w:t>
      </w:r>
    </w:p>
    <w:p w:rsidR="006069D7" w:rsidRPr="0018122A" w:rsidRDefault="006069D7" w:rsidP="006069D7">
      <w:pPr>
        <w:pStyle w:val="3"/>
        <w:rPr>
          <w:color w:val="000000" w:themeColor="text1"/>
        </w:rPr>
      </w:pPr>
      <w:r w:rsidRPr="0018122A">
        <w:rPr>
          <w:rFonts w:hint="eastAsia"/>
          <w:color w:val="000000" w:themeColor="text1"/>
        </w:rPr>
        <w:t xml:space="preserve">    </w:t>
      </w:r>
      <w:bookmarkStart w:id="91" w:name="_Toc25137293"/>
      <w:r w:rsidRPr="0018122A">
        <w:rPr>
          <w:rFonts w:hint="eastAsia"/>
          <w:color w:val="000000" w:themeColor="text1"/>
        </w:rPr>
        <w:t>2</w:t>
      </w:r>
      <w:r w:rsidRPr="0018122A">
        <w:rPr>
          <w:rFonts w:hint="eastAsia"/>
          <w:color w:val="000000" w:themeColor="text1"/>
        </w:rPr>
        <w:t>、深化智慧法院应用加大司法公开力度</w:t>
      </w:r>
      <w:bookmarkEnd w:id="91"/>
    </w:p>
    <w:p w:rsidR="006069D7" w:rsidRPr="0018122A" w:rsidRDefault="006069D7" w:rsidP="006069D7">
      <w:pPr>
        <w:spacing w:line="540" w:lineRule="exact"/>
        <w:ind w:firstLineChars="200" w:firstLine="560"/>
        <w:rPr>
          <w:rFonts w:ascii="仿宋" w:eastAsia="仿宋" w:hAnsi="仿宋"/>
          <w:color w:val="000000" w:themeColor="text1"/>
          <w:sz w:val="28"/>
          <w:szCs w:val="28"/>
        </w:rPr>
      </w:pPr>
      <w:r w:rsidRPr="0018122A">
        <w:rPr>
          <w:rFonts w:ascii="仿宋" w:eastAsia="仿宋" w:hAnsi="仿宋" w:hint="eastAsia"/>
          <w:color w:val="000000" w:themeColor="text1"/>
          <w:sz w:val="28"/>
          <w:szCs w:val="28"/>
        </w:rPr>
        <w:t>各员额法官应深入应用网上立案、证据交换、云会议、智审系统、庭审语音智能转换等功能，不仅要在绩效考核中达标，还要向信息化要质量、要效率、要效果，切实</w:t>
      </w:r>
      <w:r w:rsidRPr="0018122A">
        <w:rPr>
          <w:rFonts w:ascii="仿宋" w:eastAsia="仿宋" w:hAnsi="仿宋"/>
          <w:color w:val="000000" w:themeColor="text1"/>
          <w:sz w:val="28"/>
          <w:szCs w:val="28"/>
        </w:rPr>
        <w:t>推动案件办理、审判管理、司法公开、司法服务、司法决策等各类业务自动化、智能化</w:t>
      </w:r>
      <w:r w:rsidRPr="0018122A">
        <w:rPr>
          <w:rFonts w:ascii="仿宋" w:eastAsia="仿宋" w:hAnsi="仿宋" w:hint="eastAsia"/>
          <w:color w:val="000000" w:themeColor="text1"/>
          <w:sz w:val="28"/>
          <w:szCs w:val="28"/>
        </w:rPr>
        <w:t>，</w:t>
      </w:r>
      <w:r w:rsidRPr="0018122A">
        <w:rPr>
          <w:rFonts w:ascii="仿宋" w:eastAsia="仿宋" w:hAnsi="仿宋"/>
          <w:color w:val="000000" w:themeColor="text1"/>
          <w:sz w:val="28"/>
          <w:szCs w:val="28"/>
        </w:rPr>
        <w:t>积极促进审判执行工作质效提高。</w:t>
      </w:r>
    </w:p>
    <w:p w:rsidR="00025DAE" w:rsidRPr="0018122A" w:rsidRDefault="00025DAE" w:rsidP="00BA43A9">
      <w:pPr>
        <w:spacing w:line="540" w:lineRule="exact"/>
        <w:ind w:firstLineChars="200" w:firstLine="560"/>
        <w:rPr>
          <w:rFonts w:ascii="仿宋" w:eastAsia="仿宋" w:hAnsi="仿宋"/>
          <w:color w:val="000000" w:themeColor="text1"/>
          <w:sz w:val="28"/>
          <w:szCs w:val="28"/>
        </w:rPr>
      </w:pPr>
    </w:p>
    <w:sectPr w:rsidR="00025DAE" w:rsidRPr="0018122A" w:rsidSect="008A5DF4">
      <w:footerReference w:type="default" r:id="rId24"/>
      <w:pgSz w:w="11906" w:h="16838"/>
      <w:pgMar w:top="1440" w:right="1418" w:bottom="1440" w:left="1418"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21C" w:rsidRDefault="00F2121C" w:rsidP="00025DAE">
      <w:r>
        <w:separator/>
      </w:r>
    </w:p>
  </w:endnote>
  <w:endnote w:type="continuationSeparator" w:id="0">
    <w:p w:rsidR="00F2121C" w:rsidRDefault="00F2121C" w:rsidP="00025DA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黑体"/>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E5D" w:rsidRDefault="00BB0E5D">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39593"/>
      <w:docPartObj>
        <w:docPartGallery w:val="Page Numbers (Bottom of Page)"/>
        <w:docPartUnique/>
      </w:docPartObj>
    </w:sdtPr>
    <w:sdtContent>
      <w:p w:rsidR="00BB0E5D" w:rsidRDefault="00BB0E5D">
        <w:pPr>
          <w:pStyle w:val="a4"/>
          <w:jc w:val="center"/>
        </w:pPr>
        <w:r>
          <w:rPr>
            <w:rFonts w:hint="eastAsia"/>
          </w:rPr>
          <w:t>第</w:t>
        </w:r>
        <w:fldSimple w:instr=" PAGE   \* MERGEFORMAT ">
          <w:r w:rsidR="001656FE" w:rsidRPr="001656FE">
            <w:rPr>
              <w:noProof/>
              <w:lang w:val="zh-CN"/>
            </w:rPr>
            <w:t>2</w:t>
          </w:r>
        </w:fldSimple>
        <w:proofErr w:type="gramStart"/>
        <w:r>
          <w:rPr>
            <w:rFonts w:hint="eastAsia"/>
          </w:rPr>
          <w:t>页共</w:t>
        </w:r>
        <w:r w:rsidR="00BA43A9">
          <w:rPr>
            <w:rFonts w:hint="eastAsia"/>
          </w:rPr>
          <w:t>14</w:t>
        </w:r>
        <w:r>
          <w:rPr>
            <w:rFonts w:hint="eastAsia"/>
          </w:rPr>
          <w:t>页</w:t>
        </w:r>
        <w:proofErr w:type="gramEnd"/>
      </w:p>
    </w:sdtContent>
  </w:sdt>
  <w:p w:rsidR="00BB0E5D" w:rsidRDefault="00BB0E5D">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21C" w:rsidRDefault="00F2121C" w:rsidP="00025DAE">
      <w:r>
        <w:separator/>
      </w:r>
    </w:p>
  </w:footnote>
  <w:footnote w:type="continuationSeparator" w:id="0">
    <w:p w:rsidR="00F2121C" w:rsidRDefault="00F2121C" w:rsidP="00025D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E5D" w:rsidRDefault="00BB0E5D">
    <w:pPr>
      <w:pStyle w:val="a5"/>
    </w:pPr>
    <w:r>
      <w:rPr>
        <w:rFonts w:hint="eastAsia"/>
      </w:rPr>
      <w:t>《审判管理工作通报》</w:t>
    </w:r>
    <w:proofErr w:type="gramStart"/>
    <w:r>
      <w:rPr>
        <w:rFonts w:hint="eastAsia"/>
      </w:rPr>
      <w:t xml:space="preserve">　　　　　　　　　　</w:t>
    </w:r>
    <w:proofErr w:type="gramEnd"/>
    <w:r>
      <w:rPr>
        <w:rFonts w:hint="eastAsia"/>
      </w:rPr>
      <w:t xml:space="preserve">                   </w:t>
    </w:r>
    <w:proofErr w:type="gramStart"/>
    <w:r>
      <w:rPr>
        <w:rFonts w:hint="eastAsia"/>
      </w:rPr>
      <w:t xml:space="preserve">　　　　</w:t>
    </w:r>
    <w:proofErr w:type="gramEnd"/>
    <w:r>
      <w:rPr>
        <w:rFonts w:hint="eastAsia"/>
      </w:rPr>
      <w:t xml:space="preserve">　★和龙法院审管办主编★</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pt;height:11.5pt" o:bullet="t">
        <v:imagedata r:id="rId1" o:title=""/>
      </v:shape>
    </w:pict>
  </w:numPicBullet>
  <w:abstractNum w:abstractNumId="0">
    <w:nsid w:val="1C272ABA"/>
    <w:multiLevelType w:val="multilevel"/>
    <w:tmpl w:val="1C272ABA"/>
    <w:lvl w:ilvl="0">
      <w:start w:val="1"/>
      <w:numFmt w:val="bullet"/>
      <w:lvlText w:val=""/>
      <w:lvlPicBulletId w:val="0"/>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PicBulletId w:val="0"/>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53248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1870"/>
    <w:rsid w:val="000000DF"/>
    <w:rsid w:val="00000299"/>
    <w:rsid w:val="00000DD2"/>
    <w:rsid w:val="000012FB"/>
    <w:rsid w:val="000019DC"/>
    <w:rsid w:val="00001C63"/>
    <w:rsid w:val="00001E67"/>
    <w:rsid w:val="00002341"/>
    <w:rsid w:val="000029BB"/>
    <w:rsid w:val="000050C3"/>
    <w:rsid w:val="00005C79"/>
    <w:rsid w:val="000065E3"/>
    <w:rsid w:val="00006E91"/>
    <w:rsid w:val="0000794C"/>
    <w:rsid w:val="000104EE"/>
    <w:rsid w:val="00010D27"/>
    <w:rsid w:val="00010E3C"/>
    <w:rsid w:val="000112BF"/>
    <w:rsid w:val="0001179C"/>
    <w:rsid w:val="00011905"/>
    <w:rsid w:val="00011FC0"/>
    <w:rsid w:val="0001378C"/>
    <w:rsid w:val="00013D3F"/>
    <w:rsid w:val="000142A5"/>
    <w:rsid w:val="0001443E"/>
    <w:rsid w:val="00014619"/>
    <w:rsid w:val="00014C74"/>
    <w:rsid w:val="00014D05"/>
    <w:rsid w:val="00015827"/>
    <w:rsid w:val="000165BE"/>
    <w:rsid w:val="000166F3"/>
    <w:rsid w:val="00016A9C"/>
    <w:rsid w:val="00016EEA"/>
    <w:rsid w:val="00016EFA"/>
    <w:rsid w:val="0001788D"/>
    <w:rsid w:val="000202F5"/>
    <w:rsid w:val="0002072D"/>
    <w:rsid w:val="00020BCE"/>
    <w:rsid w:val="00020CAF"/>
    <w:rsid w:val="00020D81"/>
    <w:rsid w:val="0002100B"/>
    <w:rsid w:val="00021C83"/>
    <w:rsid w:val="00022216"/>
    <w:rsid w:val="000237F9"/>
    <w:rsid w:val="00024138"/>
    <w:rsid w:val="000243FE"/>
    <w:rsid w:val="000246E5"/>
    <w:rsid w:val="00024CEF"/>
    <w:rsid w:val="00024D8A"/>
    <w:rsid w:val="00025184"/>
    <w:rsid w:val="000251B8"/>
    <w:rsid w:val="00025631"/>
    <w:rsid w:val="00025744"/>
    <w:rsid w:val="00025913"/>
    <w:rsid w:val="00025DAE"/>
    <w:rsid w:val="00027C95"/>
    <w:rsid w:val="00030835"/>
    <w:rsid w:val="00033737"/>
    <w:rsid w:val="00033EED"/>
    <w:rsid w:val="0003478A"/>
    <w:rsid w:val="00034EE2"/>
    <w:rsid w:val="0003532D"/>
    <w:rsid w:val="000369FC"/>
    <w:rsid w:val="00036AD5"/>
    <w:rsid w:val="00037DCE"/>
    <w:rsid w:val="00040189"/>
    <w:rsid w:val="00040612"/>
    <w:rsid w:val="0004067D"/>
    <w:rsid w:val="00040BEA"/>
    <w:rsid w:val="00040D40"/>
    <w:rsid w:val="00040EE3"/>
    <w:rsid w:val="000417AF"/>
    <w:rsid w:val="00041F6B"/>
    <w:rsid w:val="000426F7"/>
    <w:rsid w:val="00042CEF"/>
    <w:rsid w:val="00043626"/>
    <w:rsid w:val="00044207"/>
    <w:rsid w:val="00044533"/>
    <w:rsid w:val="00045EEB"/>
    <w:rsid w:val="00046723"/>
    <w:rsid w:val="00046BD0"/>
    <w:rsid w:val="00046D3B"/>
    <w:rsid w:val="00047180"/>
    <w:rsid w:val="00047326"/>
    <w:rsid w:val="000474CA"/>
    <w:rsid w:val="00047713"/>
    <w:rsid w:val="00047DFD"/>
    <w:rsid w:val="00050161"/>
    <w:rsid w:val="00050238"/>
    <w:rsid w:val="000507F9"/>
    <w:rsid w:val="00050986"/>
    <w:rsid w:val="00050BC1"/>
    <w:rsid w:val="00050CEC"/>
    <w:rsid w:val="00051D87"/>
    <w:rsid w:val="00052709"/>
    <w:rsid w:val="00052A0F"/>
    <w:rsid w:val="0005335D"/>
    <w:rsid w:val="00053407"/>
    <w:rsid w:val="000535F2"/>
    <w:rsid w:val="00053712"/>
    <w:rsid w:val="00053719"/>
    <w:rsid w:val="000543FC"/>
    <w:rsid w:val="00054612"/>
    <w:rsid w:val="000557FA"/>
    <w:rsid w:val="00055D89"/>
    <w:rsid w:val="00056267"/>
    <w:rsid w:val="00056A16"/>
    <w:rsid w:val="00057114"/>
    <w:rsid w:val="00057168"/>
    <w:rsid w:val="00057CBD"/>
    <w:rsid w:val="00057EDD"/>
    <w:rsid w:val="000607E4"/>
    <w:rsid w:val="00060A2E"/>
    <w:rsid w:val="00061AF6"/>
    <w:rsid w:val="00061C99"/>
    <w:rsid w:val="0006228B"/>
    <w:rsid w:val="000631F4"/>
    <w:rsid w:val="0006332C"/>
    <w:rsid w:val="00063C07"/>
    <w:rsid w:val="00063CD0"/>
    <w:rsid w:val="0006410D"/>
    <w:rsid w:val="00064514"/>
    <w:rsid w:val="00064758"/>
    <w:rsid w:val="00064FDD"/>
    <w:rsid w:val="000655DB"/>
    <w:rsid w:val="00065D9E"/>
    <w:rsid w:val="00066414"/>
    <w:rsid w:val="00066755"/>
    <w:rsid w:val="0006679B"/>
    <w:rsid w:val="00066957"/>
    <w:rsid w:val="00066B82"/>
    <w:rsid w:val="0006770B"/>
    <w:rsid w:val="00067EE9"/>
    <w:rsid w:val="00070C9E"/>
    <w:rsid w:val="000718BB"/>
    <w:rsid w:val="00071E47"/>
    <w:rsid w:val="000724AC"/>
    <w:rsid w:val="000726B6"/>
    <w:rsid w:val="00072AE1"/>
    <w:rsid w:val="0007369C"/>
    <w:rsid w:val="00074037"/>
    <w:rsid w:val="00074427"/>
    <w:rsid w:val="00074806"/>
    <w:rsid w:val="00074D0B"/>
    <w:rsid w:val="00075DD1"/>
    <w:rsid w:val="0007645B"/>
    <w:rsid w:val="00076CB4"/>
    <w:rsid w:val="00077AC9"/>
    <w:rsid w:val="0008045D"/>
    <w:rsid w:val="000808E0"/>
    <w:rsid w:val="00080AAB"/>
    <w:rsid w:val="00081079"/>
    <w:rsid w:val="0008208E"/>
    <w:rsid w:val="0008270D"/>
    <w:rsid w:val="00082C3F"/>
    <w:rsid w:val="00082FFD"/>
    <w:rsid w:val="000837AA"/>
    <w:rsid w:val="000837C6"/>
    <w:rsid w:val="00083815"/>
    <w:rsid w:val="00084E99"/>
    <w:rsid w:val="00084F26"/>
    <w:rsid w:val="000857EF"/>
    <w:rsid w:val="00085ED9"/>
    <w:rsid w:val="0008647D"/>
    <w:rsid w:val="000864FE"/>
    <w:rsid w:val="00086888"/>
    <w:rsid w:val="000876F1"/>
    <w:rsid w:val="00090D86"/>
    <w:rsid w:val="00091350"/>
    <w:rsid w:val="0009183D"/>
    <w:rsid w:val="000919E5"/>
    <w:rsid w:val="00092233"/>
    <w:rsid w:val="000929D5"/>
    <w:rsid w:val="0009373D"/>
    <w:rsid w:val="0009373E"/>
    <w:rsid w:val="00093D76"/>
    <w:rsid w:val="00093F45"/>
    <w:rsid w:val="00094AD0"/>
    <w:rsid w:val="00095BA2"/>
    <w:rsid w:val="00096A2E"/>
    <w:rsid w:val="00096D93"/>
    <w:rsid w:val="00096E26"/>
    <w:rsid w:val="000970EE"/>
    <w:rsid w:val="00097471"/>
    <w:rsid w:val="0009763A"/>
    <w:rsid w:val="00097FB8"/>
    <w:rsid w:val="000A19E8"/>
    <w:rsid w:val="000A1F46"/>
    <w:rsid w:val="000A21AA"/>
    <w:rsid w:val="000A23D2"/>
    <w:rsid w:val="000A249F"/>
    <w:rsid w:val="000A2CE1"/>
    <w:rsid w:val="000A2D6D"/>
    <w:rsid w:val="000A348F"/>
    <w:rsid w:val="000A3641"/>
    <w:rsid w:val="000A3941"/>
    <w:rsid w:val="000A3DE0"/>
    <w:rsid w:val="000A4DD1"/>
    <w:rsid w:val="000A5AE3"/>
    <w:rsid w:val="000A5E15"/>
    <w:rsid w:val="000A6630"/>
    <w:rsid w:val="000A7498"/>
    <w:rsid w:val="000A749F"/>
    <w:rsid w:val="000A75BB"/>
    <w:rsid w:val="000A76EE"/>
    <w:rsid w:val="000B080C"/>
    <w:rsid w:val="000B1126"/>
    <w:rsid w:val="000B13BC"/>
    <w:rsid w:val="000B21DE"/>
    <w:rsid w:val="000B22DC"/>
    <w:rsid w:val="000B24A0"/>
    <w:rsid w:val="000B284E"/>
    <w:rsid w:val="000B3437"/>
    <w:rsid w:val="000B4F67"/>
    <w:rsid w:val="000B62F4"/>
    <w:rsid w:val="000B65E8"/>
    <w:rsid w:val="000B7244"/>
    <w:rsid w:val="000B733C"/>
    <w:rsid w:val="000B7740"/>
    <w:rsid w:val="000B79CB"/>
    <w:rsid w:val="000B7C68"/>
    <w:rsid w:val="000C086B"/>
    <w:rsid w:val="000C125B"/>
    <w:rsid w:val="000C1A7C"/>
    <w:rsid w:val="000C1AB0"/>
    <w:rsid w:val="000C25B4"/>
    <w:rsid w:val="000C25C5"/>
    <w:rsid w:val="000C34A4"/>
    <w:rsid w:val="000C4249"/>
    <w:rsid w:val="000C4328"/>
    <w:rsid w:val="000C46FB"/>
    <w:rsid w:val="000C55CF"/>
    <w:rsid w:val="000C59F2"/>
    <w:rsid w:val="000C5FED"/>
    <w:rsid w:val="000C6468"/>
    <w:rsid w:val="000C7012"/>
    <w:rsid w:val="000D0B90"/>
    <w:rsid w:val="000D160B"/>
    <w:rsid w:val="000D16AB"/>
    <w:rsid w:val="000D1A90"/>
    <w:rsid w:val="000D1E20"/>
    <w:rsid w:val="000D1FBF"/>
    <w:rsid w:val="000D2497"/>
    <w:rsid w:val="000D274F"/>
    <w:rsid w:val="000D317B"/>
    <w:rsid w:val="000D3582"/>
    <w:rsid w:val="000D485A"/>
    <w:rsid w:val="000D49C9"/>
    <w:rsid w:val="000D597B"/>
    <w:rsid w:val="000D6458"/>
    <w:rsid w:val="000D6981"/>
    <w:rsid w:val="000D72D9"/>
    <w:rsid w:val="000E0EB7"/>
    <w:rsid w:val="000E0F24"/>
    <w:rsid w:val="000E1425"/>
    <w:rsid w:val="000E144A"/>
    <w:rsid w:val="000E2FA0"/>
    <w:rsid w:val="000E31B6"/>
    <w:rsid w:val="000E3984"/>
    <w:rsid w:val="000E3990"/>
    <w:rsid w:val="000E3E5B"/>
    <w:rsid w:val="000E4765"/>
    <w:rsid w:val="000E4A27"/>
    <w:rsid w:val="000E4EB4"/>
    <w:rsid w:val="000E65D8"/>
    <w:rsid w:val="000E66D5"/>
    <w:rsid w:val="000E78E9"/>
    <w:rsid w:val="000F0A37"/>
    <w:rsid w:val="000F189B"/>
    <w:rsid w:val="000F1A7A"/>
    <w:rsid w:val="000F1FBE"/>
    <w:rsid w:val="000F26E5"/>
    <w:rsid w:val="000F3CE0"/>
    <w:rsid w:val="000F3D23"/>
    <w:rsid w:val="000F40CA"/>
    <w:rsid w:val="000F40EB"/>
    <w:rsid w:val="000F452C"/>
    <w:rsid w:val="000F5204"/>
    <w:rsid w:val="000F5357"/>
    <w:rsid w:val="000F5811"/>
    <w:rsid w:val="000F69CF"/>
    <w:rsid w:val="000F7355"/>
    <w:rsid w:val="000F7BC9"/>
    <w:rsid w:val="00100093"/>
    <w:rsid w:val="00100779"/>
    <w:rsid w:val="001011D1"/>
    <w:rsid w:val="001019CB"/>
    <w:rsid w:val="00102019"/>
    <w:rsid w:val="00102DAE"/>
    <w:rsid w:val="00103389"/>
    <w:rsid w:val="00103D08"/>
    <w:rsid w:val="00104B1A"/>
    <w:rsid w:val="001056E8"/>
    <w:rsid w:val="001079AB"/>
    <w:rsid w:val="0011067C"/>
    <w:rsid w:val="00110EA0"/>
    <w:rsid w:val="001116DF"/>
    <w:rsid w:val="00112423"/>
    <w:rsid w:val="0011339B"/>
    <w:rsid w:val="00113542"/>
    <w:rsid w:val="00113C7E"/>
    <w:rsid w:val="00113E48"/>
    <w:rsid w:val="00114CB0"/>
    <w:rsid w:val="00115155"/>
    <w:rsid w:val="001152FB"/>
    <w:rsid w:val="00115930"/>
    <w:rsid w:val="00115A3A"/>
    <w:rsid w:val="00116760"/>
    <w:rsid w:val="0012035C"/>
    <w:rsid w:val="001203DE"/>
    <w:rsid w:val="00120DC1"/>
    <w:rsid w:val="00121033"/>
    <w:rsid w:val="001212BA"/>
    <w:rsid w:val="00121374"/>
    <w:rsid w:val="00122EF3"/>
    <w:rsid w:val="001234F0"/>
    <w:rsid w:val="00123895"/>
    <w:rsid w:val="00123DE0"/>
    <w:rsid w:val="00124BD5"/>
    <w:rsid w:val="001250E9"/>
    <w:rsid w:val="00125245"/>
    <w:rsid w:val="00125533"/>
    <w:rsid w:val="00126078"/>
    <w:rsid w:val="0012615A"/>
    <w:rsid w:val="0012649D"/>
    <w:rsid w:val="00126857"/>
    <w:rsid w:val="00126E5F"/>
    <w:rsid w:val="00126FDA"/>
    <w:rsid w:val="00127444"/>
    <w:rsid w:val="00127964"/>
    <w:rsid w:val="001317C9"/>
    <w:rsid w:val="00131A05"/>
    <w:rsid w:val="0013314F"/>
    <w:rsid w:val="001338FF"/>
    <w:rsid w:val="00134EB2"/>
    <w:rsid w:val="0013503A"/>
    <w:rsid w:val="001358A6"/>
    <w:rsid w:val="00135C1A"/>
    <w:rsid w:val="00135DC4"/>
    <w:rsid w:val="0013684F"/>
    <w:rsid w:val="001378D1"/>
    <w:rsid w:val="00137C51"/>
    <w:rsid w:val="00140B18"/>
    <w:rsid w:val="00140B3F"/>
    <w:rsid w:val="00140F2A"/>
    <w:rsid w:val="00141605"/>
    <w:rsid w:val="0014192B"/>
    <w:rsid w:val="00141B15"/>
    <w:rsid w:val="00141B85"/>
    <w:rsid w:val="00142934"/>
    <w:rsid w:val="00142D0B"/>
    <w:rsid w:val="00142F94"/>
    <w:rsid w:val="00143375"/>
    <w:rsid w:val="00143549"/>
    <w:rsid w:val="00143EA3"/>
    <w:rsid w:val="00144D8C"/>
    <w:rsid w:val="0014524E"/>
    <w:rsid w:val="00145362"/>
    <w:rsid w:val="00145823"/>
    <w:rsid w:val="0014591C"/>
    <w:rsid w:val="00145A4E"/>
    <w:rsid w:val="00145EE1"/>
    <w:rsid w:val="001469E1"/>
    <w:rsid w:val="00146A64"/>
    <w:rsid w:val="00146D62"/>
    <w:rsid w:val="00147164"/>
    <w:rsid w:val="001475C0"/>
    <w:rsid w:val="00147DA7"/>
    <w:rsid w:val="001508F1"/>
    <w:rsid w:val="00150ACC"/>
    <w:rsid w:val="00150B4A"/>
    <w:rsid w:val="00150D2D"/>
    <w:rsid w:val="00150F54"/>
    <w:rsid w:val="00151655"/>
    <w:rsid w:val="00151A7C"/>
    <w:rsid w:val="00153A37"/>
    <w:rsid w:val="00154B6D"/>
    <w:rsid w:val="001559FF"/>
    <w:rsid w:val="00155F36"/>
    <w:rsid w:val="00156FD3"/>
    <w:rsid w:val="001577F7"/>
    <w:rsid w:val="001606BA"/>
    <w:rsid w:val="0016093B"/>
    <w:rsid w:val="00162924"/>
    <w:rsid w:val="00162930"/>
    <w:rsid w:val="00163089"/>
    <w:rsid w:val="00163573"/>
    <w:rsid w:val="00163657"/>
    <w:rsid w:val="00163BC5"/>
    <w:rsid w:val="001643FD"/>
    <w:rsid w:val="0016453D"/>
    <w:rsid w:val="001656FE"/>
    <w:rsid w:val="00165A83"/>
    <w:rsid w:val="00165B6B"/>
    <w:rsid w:val="0016660E"/>
    <w:rsid w:val="0016712A"/>
    <w:rsid w:val="00167555"/>
    <w:rsid w:val="0016764D"/>
    <w:rsid w:val="00167DA5"/>
    <w:rsid w:val="00170445"/>
    <w:rsid w:val="0017051F"/>
    <w:rsid w:val="001705A1"/>
    <w:rsid w:val="0017062B"/>
    <w:rsid w:val="00170A5B"/>
    <w:rsid w:val="0017160F"/>
    <w:rsid w:val="00171EB9"/>
    <w:rsid w:val="0017315A"/>
    <w:rsid w:val="00173E00"/>
    <w:rsid w:val="001745CA"/>
    <w:rsid w:val="00174C7C"/>
    <w:rsid w:val="00175755"/>
    <w:rsid w:val="00175C1D"/>
    <w:rsid w:val="00176010"/>
    <w:rsid w:val="001771D7"/>
    <w:rsid w:val="00177302"/>
    <w:rsid w:val="001774CA"/>
    <w:rsid w:val="001775CA"/>
    <w:rsid w:val="0017763B"/>
    <w:rsid w:val="00180783"/>
    <w:rsid w:val="0018088C"/>
    <w:rsid w:val="0018122A"/>
    <w:rsid w:val="00181587"/>
    <w:rsid w:val="001818BA"/>
    <w:rsid w:val="00181D07"/>
    <w:rsid w:val="0018225B"/>
    <w:rsid w:val="001823AA"/>
    <w:rsid w:val="0018262B"/>
    <w:rsid w:val="00183671"/>
    <w:rsid w:val="00183765"/>
    <w:rsid w:val="0018470C"/>
    <w:rsid w:val="0018473B"/>
    <w:rsid w:val="00184C60"/>
    <w:rsid w:val="00184CDF"/>
    <w:rsid w:val="00184F9A"/>
    <w:rsid w:val="001860EC"/>
    <w:rsid w:val="00186376"/>
    <w:rsid w:val="00186ADF"/>
    <w:rsid w:val="00186BD2"/>
    <w:rsid w:val="00186DD7"/>
    <w:rsid w:val="0018733E"/>
    <w:rsid w:val="0018759D"/>
    <w:rsid w:val="00187E0A"/>
    <w:rsid w:val="00187ECC"/>
    <w:rsid w:val="00190060"/>
    <w:rsid w:val="00190D4A"/>
    <w:rsid w:val="00190ED8"/>
    <w:rsid w:val="00190F2B"/>
    <w:rsid w:val="00190FDB"/>
    <w:rsid w:val="0019104F"/>
    <w:rsid w:val="00191B4A"/>
    <w:rsid w:val="00191C27"/>
    <w:rsid w:val="00191D27"/>
    <w:rsid w:val="0019200E"/>
    <w:rsid w:val="00192488"/>
    <w:rsid w:val="00193D35"/>
    <w:rsid w:val="0019446C"/>
    <w:rsid w:val="00194814"/>
    <w:rsid w:val="00194DF9"/>
    <w:rsid w:val="00194E92"/>
    <w:rsid w:val="0019516F"/>
    <w:rsid w:val="001956CD"/>
    <w:rsid w:val="00195BE4"/>
    <w:rsid w:val="00195C3E"/>
    <w:rsid w:val="00195EF4"/>
    <w:rsid w:val="001964E9"/>
    <w:rsid w:val="00196825"/>
    <w:rsid w:val="00196B22"/>
    <w:rsid w:val="00197103"/>
    <w:rsid w:val="00197AC4"/>
    <w:rsid w:val="001A008F"/>
    <w:rsid w:val="001A0E54"/>
    <w:rsid w:val="001A1BCD"/>
    <w:rsid w:val="001A1EBD"/>
    <w:rsid w:val="001A2043"/>
    <w:rsid w:val="001A2340"/>
    <w:rsid w:val="001A2640"/>
    <w:rsid w:val="001A27DC"/>
    <w:rsid w:val="001A307E"/>
    <w:rsid w:val="001A33E3"/>
    <w:rsid w:val="001A3571"/>
    <w:rsid w:val="001A372E"/>
    <w:rsid w:val="001A3F25"/>
    <w:rsid w:val="001A504E"/>
    <w:rsid w:val="001A5870"/>
    <w:rsid w:val="001A58E3"/>
    <w:rsid w:val="001A65AF"/>
    <w:rsid w:val="001A69B5"/>
    <w:rsid w:val="001A6BF4"/>
    <w:rsid w:val="001A6C5D"/>
    <w:rsid w:val="001A7827"/>
    <w:rsid w:val="001A7DCE"/>
    <w:rsid w:val="001B0136"/>
    <w:rsid w:val="001B0D78"/>
    <w:rsid w:val="001B27BC"/>
    <w:rsid w:val="001B2C22"/>
    <w:rsid w:val="001B3262"/>
    <w:rsid w:val="001B3782"/>
    <w:rsid w:val="001B42A8"/>
    <w:rsid w:val="001B43F5"/>
    <w:rsid w:val="001B4461"/>
    <w:rsid w:val="001B621B"/>
    <w:rsid w:val="001B64E3"/>
    <w:rsid w:val="001B682B"/>
    <w:rsid w:val="001B71C4"/>
    <w:rsid w:val="001C0633"/>
    <w:rsid w:val="001C26E1"/>
    <w:rsid w:val="001C277A"/>
    <w:rsid w:val="001C345E"/>
    <w:rsid w:val="001C3EC3"/>
    <w:rsid w:val="001C3F9D"/>
    <w:rsid w:val="001C47C6"/>
    <w:rsid w:val="001C6015"/>
    <w:rsid w:val="001C6A1B"/>
    <w:rsid w:val="001C780A"/>
    <w:rsid w:val="001C7C85"/>
    <w:rsid w:val="001C7CA6"/>
    <w:rsid w:val="001D05E1"/>
    <w:rsid w:val="001D157B"/>
    <w:rsid w:val="001D1582"/>
    <w:rsid w:val="001D1AB9"/>
    <w:rsid w:val="001D1C0D"/>
    <w:rsid w:val="001D20E2"/>
    <w:rsid w:val="001D215F"/>
    <w:rsid w:val="001D22C4"/>
    <w:rsid w:val="001D32ED"/>
    <w:rsid w:val="001D3C2A"/>
    <w:rsid w:val="001D458A"/>
    <w:rsid w:val="001D50CD"/>
    <w:rsid w:val="001D6311"/>
    <w:rsid w:val="001D6E45"/>
    <w:rsid w:val="001D6EF4"/>
    <w:rsid w:val="001D6F24"/>
    <w:rsid w:val="001D7362"/>
    <w:rsid w:val="001D7445"/>
    <w:rsid w:val="001D7FC2"/>
    <w:rsid w:val="001E0B1A"/>
    <w:rsid w:val="001E0C30"/>
    <w:rsid w:val="001E14FB"/>
    <w:rsid w:val="001E155D"/>
    <w:rsid w:val="001E1F4B"/>
    <w:rsid w:val="001E231B"/>
    <w:rsid w:val="001E23FE"/>
    <w:rsid w:val="001E2622"/>
    <w:rsid w:val="001E312B"/>
    <w:rsid w:val="001E35AD"/>
    <w:rsid w:val="001E3B64"/>
    <w:rsid w:val="001E44B0"/>
    <w:rsid w:val="001E4763"/>
    <w:rsid w:val="001E4B58"/>
    <w:rsid w:val="001E57B5"/>
    <w:rsid w:val="001E5EA3"/>
    <w:rsid w:val="001E681D"/>
    <w:rsid w:val="001E6EAC"/>
    <w:rsid w:val="001E71EA"/>
    <w:rsid w:val="001E78FC"/>
    <w:rsid w:val="001E7AF5"/>
    <w:rsid w:val="001E7D78"/>
    <w:rsid w:val="001E7F48"/>
    <w:rsid w:val="001F00F8"/>
    <w:rsid w:val="001F0C70"/>
    <w:rsid w:val="001F13BA"/>
    <w:rsid w:val="001F181F"/>
    <w:rsid w:val="001F1B47"/>
    <w:rsid w:val="001F27E4"/>
    <w:rsid w:val="001F2BF9"/>
    <w:rsid w:val="001F530B"/>
    <w:rsid w:val="001F5EF9"/>
    <w:rsid w:val="001F5FD1"/>
    <w:rsid w:val="001F77AD"/>
    <w:rsid w:val="001F7A9D"/>
    <w:rsid w:val="002007D9"/>
    <w:rsid w:val="00200DA9"/>
    <w:rsid w:val="002010F8"/>
    <w:rsid w:val="00202279"/>
    <w:rsid w:val="0020229F"/>
    <w:rsid w:val="00202362"/>
    <w:rsid w:val="00202457"/>
    <w:rsid w:val="00202698"/>
    <w:rsid w:val="00202A16"/>
    <w:rsid w:val="002030A8"/>
    <w:rsid w:val="00203379"/>
    <w:rsid w:val="00203FFE"/>
    <w:rsid w:val="002044C9"/>
    <w:rsid w:val="00204BA5"/>
    <w:rsid w:val="00207E0C"/>
    <w:rsid w:val="0021190D"/>
    <w:rsid w:val="00212442"/>
    <w:rsid w:val="002130B3"/>
    <w:rsid w:val="002133C3"/>
    <w:rsid w:val="00214090"/>
    <w:rsid w:val="00214369"/>
    <w:rsid w:val="00214ADB"/>
    <w:rsid w:val="0021578A"/>
    <w:rsid w:val="002158EA"/>
    <w:rsid w:val="00216125"/>
    <w:rsid w:val="00216296"/>
    <w:rsid w:val="00216578"/>
    <w:rsid w:val="0021772D"/>
    <w:rsid w:val="00220B68"/>
    <w:rsid w:val="002220F0"/>
    <w:rsid w:val="00222283"/>
    <w:rsid w:val="0022232D"/>
    <w:rsid w:val="00222A56"/>
    <w:rsid w:val="00222EFC"/>
    <w:rsid w:val="0022306D"/>
    <w:rsid w:val="002233DE"/>
    <w:rsid w:val="002234A4"/>
    <w:rsid w:val="0022359C"/>
    <w:rsid w:val="00223C66"/>
    <w:rsid w:val="00225381"/>
    <w:rsid w:val="00225A20"/>
    <w:rsid w:val="00225ACD"/>
    <w:rsid w:val="00225D84"/>
    <w:rsid w:val="00227151"/>
    <w:rsid w:val="00227153"/>
    <w:rsid w:val="00227599"/>
    <w:rsid w:val="00230138"/>
    <w:rsid w:val="00230421"/>
    <w:rsid w:val="00230B5E"/>
    <w:rsid w:val="00230E5E"/>
    <w:rsid w:val="00230FE0"/>
    <w:rsid w:val="00232484"/>
    <w:rsid w:val="00232AD2"/>
    <w:rsid w:val="00233150"/>
    <w:rsid w:val="00233A1A"/>
    <w:rsid w:val="0023495B"/>
    <w:rsid w:val="00234A7B"/>
    <w:rsid w:val="00234F40"/>
    <w:rsid w:val="00235131"/>
    <w:rsid w:val="00235CE5"/>
    <w:rsid w:val="0023629F"/>
    <w:rsid w:val="002368EA"/>
    <w:rsid w:val="00236A67"/>
    <w:rsid w:val="00236C77"/>
    <w:rsid w:val="00237893"/>
    <w:rsid w:val="00237AF7"/>
    <w:rsid w:val="00240246"/>
    <w:rsid w:val="00240991"/>
    <w:rsid w:val="0024145B"/>
    <w:rsid w:val="002414FE"/>
    <w:rsid w:val="00241893"/>
    <w:rsid w:val="00241D6A"/>
    <w:rsid w:val="002422D4"/>
    <w:rsid w:val="00242413"/>
    <w:rsid w:val="002440A5"/>
    <w:rsid w:val="002442E1"/>
    <w:rsid w:val="002449B0"/>
    <w:rsid w:val="00244A2D"/>
    <w:rsid w:val="00245B4F"/>
    <w:rsid w:val="002466D8"/>
    <w:rsid w:val="00246E8B"/>
    <w:rsid w:val="002475C2"/>
    <w:rsid w:val="002505D9"/>
    <w:rsid w:val="00252BE7"/>
    <w:rsid w:val="00252E77"/>
    <w:rsid w:val="002545BC"/>
    <w:rsid w:val="002549CD"/>
    <w:rsid w:val="00254A55"/>
    <w:rsid w:val="00254F2A"/>
    <w:rsid w:val="0025557D"/>
    <w:rsid w:val="002560D4"/>
    <w:rsid w:val="002564CC"/>
    <w:rsid w:val="002565A4"/>
    <w:rsid w:val="00256B6A"/>
    <w:rsid w:val="00256BB9"/>
    <w:rsid w:val="00256BC6"/>
    <w:rsid w:val="00257C48"/>
    <w:rsid w:val="0026018F"/>
    <w:rsid w:val="00260D87"/>
    <w:rsid w:val="00262081"/>
    <w:rsid w:val="002622D2"/>
    <w:rsid w:val="002630E8"/>
    <w:rsid w:val="00263184"/>
    <w:rsid w:val="0026364B"/>
    <w:rsid w:val="00263E76"/>
    <w:rsid w:val="002643EF"/>
    <w:rsid w:val="00264895"/>
    <w:rsid w:val="00264E9C"/>
    <w:rsid w:val="0026516B"/>
    <w:rsid w:val="00265819"/>
    <w:rsid w:val="002659FB"/>
    <w:rsid w:val="00266763"/>
    <w:rsid w:val="00266E72"/>
    <w:rsid w:val="0026723F"/>
    <w:rsid w:val="002675CA"/>
    <w:rsid w:val="00267805"/>
    <w:rsid w:val="00267E95"/>
    <w:rsid w:val="002709A1"/>
    <w:rsid w:val="00271359"/>
    <w:rsid w:val="0027162E"/>
    <w:rsid w:val="00271762"/>
    <w:rsid w:val="002721C0"/>
    <w:rsid w:val="002722AB"/>
    <w:rsid w:val="002727A6"/>
    <w:rsid w:val="00272A37"/>
    <w:rsid w:val="00273158"/>
    <w:rsid w:val="0027322D"/>
    <w:rsid w:val="0027327F"/>
    <w:rsid w:val="002741EE"/>
    <w:rsid w:val="00274207"/>
    <w:rsid w:val="002744DE"/>
    <w:rsid w:val="0027497F"/>
    <w:rsid w:val="00275F2C"/>
    <w:rsid w:val="00276B2D"/>
    <w:rsid w:val="0027719B"/>
    <w:rsid w:val="0027775A"/>
    <w:rsid w:val="00277C54"/>
    <w:rsid w:val="00280776"/>
    <w:rsid w:val="002814C5"/>
    <w:rsid w:val="00281886"/>
    <w:rsid w:val="002826FD"/>
    <w:rsid w:val="00282B97"/>
    <w:rsid w:val="00282FE0"/>
    <w:rsid w:val="002835E2"/>
    <w:rsid w:val="00283654"/>
    <w:rsid w:val="00283F02"/>
    <w:rsid w:val="0028472A"/>
    <w:rsid w:val="00284B6C"/>
    <w:rsid w:val="0028526C"/>
    <w:rsid w:val="00285889"/>
    <w:rsid w:val="00285EEA"/>
    <w:rsid w:val="0028639F"/>
    <w:rsid w:val="00286FD4"/>
    <w:rsid w:val="00287960"/>
    <w:rsid w:val="002907FF"/>
    <w:rsid w:val="00290BC2"/>
    <w:rsid w:val="00290C0C"/>
    <w:rsid w:val="0029173D"/>
    <w:rsid w:val="00292142"/>
    <w:rsid w:val="00292C01"/>
    <w:rsid w:val="00292C11"/>
    <w:rsid w:val="002937D4"/>
    <w:rsid w:val="0029487D"/>
    <w:rsid w:val="00294D6B"/>
    <w:rsid w:val="002952FF"/>
    <w:rsid w:val="00295496"/>
    <w:rsid w:val="00295687"/>
    <w:rsid w:val="00295B69"/>
    <w:rsid w:val="00295C98"/>
    <w:rsid w:val="00296FA0"/>
    <w:rsid w:val="00297D0D"/>
    <w:rsid w:val="002A1CF8"/>
    <w:rsid w:val="002A2B47"/>
    <w:rsid w:val="002A3BB6"/>
    <w:rsid w:val="002A4345"/>
    <w:rsid w:val="002A4472"/>
    <w:rsid w:val="002A515F"/>
    <w:rsid w:val="002A5583"/>
    <w:rsid w:val="002A6579"/>
    <w:rsid w:val="002A6E03"/>
    <w:rsid w:val="002A7BE0"/>
    <w:rsid w:val="002B00ED"/>
    <w:rsid w:val="002B035D"/>
    <w:rsid w:val="002B2602"/>
    <w:rsid w:val="002B2B14"/>
    <w:rsid w:val="002B2B61"/>
    <w:rsid w:val="002B30EA"/>
    <w:rsid w:val="002B3392"/>
    <w:rsid w:val="002B4552"/>
    <w:rsid w:val="002B4923"/>
    <w:rsid w:val="002B4EDF"/>
    <w:rsid w:val="002B53A5"/>
    <w:rsid w:val="002B546F"/>
    <w:rsid w:val="002B5492"/>
    <w:rsid w:val="002B5685"/>
    <w:rsid w:val="002B5943"/>
    <w:rsid w:val="002B5AD2"/>
    <w:rsid w:val="002B5F2A"/>
    <w:rsid w:val="002B60D9"/>
    <w:rsid w:val="002B66E6"/>
    <w:rsid w:val="002B6A6B"/>
    <w:rsid w:val="002B707D"/>
    <w:rsid w:val="002B7787"/>
    <w:rsid w:val="002C00EE"/>
    <w:rsid w:val="002C0DC2"/>
    <w:rsid w:val="002C14CA"/>
    <w:rsid w:val="002C15A5"/>
    <w:rsid w:val="002C1699"/>
    <w:rsid w:val="002C1C7C"/>
    <w:rsid w:val="002C2148"/>
    <w:rsid w:val="002C3072"/>
    <w:rsid w:val="002C405A"/>
    <w:rsid w:val="002C58E7"/>
    <w:rsid w:val="002C5DAA"/>
    <w:rsid w:val="002C662E"/>
    <w:rsid w:val="002C6868"/>
    <w:rsid w:val="002C68C6"/>
    <w:rsid w:val="002C6915"/>
    <w:rsid w:val="002C69E7"/>
    <w:rsid w:val="002C7D9A"/>
    <w:rsid w:val="002D0E85"/>
    <w:rsid w:val="002D15F0"/>
    <w:rsid w:val="002D1B97"/>
    <w:rsid w:val="002D1FC1"/>
    <w:rsid w:val="002D2054"/>
    <w:rsid w:val="002D26B5"/>
    <w:rsid w:val="002D319C"/>
    <w:rsid w:val="002D3225"/>
    <w:rsid w:val="002D3C4B"/>
    <w:rsid w:val="002D3EF7"/>
    <w:rsid w:val="002D45B9"/>
    <w:rsid w:val="002D62E3"/>
    <w:rsid w:val="002D6964"/>
    <w:rsid w:val="002D69FA"/>
    <w:rsid w:val="002D7D42"/>
    <w:rsid w:val="002E09DE"/>
    <w:rsid w:val="002E0B8B"/>
    <w:rsid w:val="002E228F"/>
    <w:rsid w:val="002E247D"/>
    <w:rsid w:val="002E2563"/>
    <w:rsid w:val="002E2726"/>
    <w:rsid w:val="002E31D1"/>
    <w:rsid w:val="002E3BB3"/>
    <w:rsid w:val="002E4DBE"/>
    <w:rsid w:val="002E6E7C"/>
    <w:rsid w:val="002E7205"/>
    <w:rsid w:val="002E7893"/>
    <w:rsid w:val="002E7A8D"/>
    <w:rsid w:val="002E7CE7"/>
    <w:rsid w:val="002E7EEE"/>
    <w:rsid w:val="002F01CE"/>
    <w:rsid w:val="002F07CE"/>
    <w:rsid w:val="002F17D7"/>
    <w:rsid w:val="002F24EF"/>
    <w:rsid w:val="002F29EC"/>
    <w:rsid w:val="002F3A5C"/>
    <w:rsid w:val="002F40F9"/>
    <w:rsid w:val="002F41F9"/>
    <w:rsid w:val="002F421E"/>
    <w:rsid w:val="002F4516"/>
    <w:rsid w:val="002F46DC"/>
    <w:rsid w:val="002F4E00"/>
    <w:rsid w:val="002F560A"/>
    <w:rsid w:val="002F5B02"/>
    <w:rsid w:val="002F6113"/>
    <w:rsid w:val="002F699A"/>
    <w:rsid w:val="002F69EA"/>
    <w:rsid w:val="002F6D66"/>
    <w:rsid w:val="002F70E2"/>
    <w:rsid w:val="002F70F6"/>
    <w:rsid w:val="002F7623"/>
    <w:rsid w:val="002F7990"/>
    <w:rsid w:val="002F7E5C"/>
    <w:rsid w:val="003019D5"/>
    <w:rsid w:val="00301C83"/>
    <w:rsid w:val="0030295F"/>
    <w:rsid w:val="003029D2"/>
    <w:rsid w:val="00302C9E"/>
    <w:rsid w:val="00302E8C"/>
    <w:rsid w:val="003034B8"/>
    <w:rsid w:val="00303A1F"/>
    <w:rsid w:val="00303A5E"/>
    <w:rsid w:val="00303D3B"/>
    <w:rsid w:val="00303E71"/>
    <w:rsid w:val="003047F8"/>
    <w:rsid w:val="00304E81"/>
    <w:rsid w:val="00305447"/>
    <w:rsid w:val="00306C48"/>
    <w:rsid w:val="00306E4E"/>
    <w:rsid w:val="00306F94"/>
    <w:rsid w:val="00307111"/>
    <w:rsid w:val="00307B93"/>
    <w:rsid w:val="0031011E"/>
    <w:rsid w:val="0031019A"/>
    <w:rsid w:val="00310728"/>
    <w:rsid w:val="003107C8"/>
    <w:rsid w:val="003113A5"/>
    <w:rsid w:val="00311706"/>
    <w:rsid w:val="00311C8E"/>
    <w:rsid w:val="0031298A"/>
    <w:rsid w:val="003131B8"/>
    <w:rsid w:val="003131D7"/>
    <w:rsid w:val="0031337E"/>
    <w:rsid w:val="003135E9"/>
    <w:rsid w:val="00313C89"/>
    <w:rsid w:val="0031509A"/>
    <w:rsid w:val="00315B58"/>
    <w:rsid w:val="003166A0"/>
    <w:rsid w:val="00316B44"/>
    <w:rsid w:val="0031752D"/>
    <w:rsid w:val="00317DFD"/>
    <w:rsid w:val="0032006D"/>
    <w:rsid w:val="00320247"/>
    <w:rsid w:val="00321403"/>
    <w:rsid w:val="003222DC"/>
    <w:rsid w:val="003225D1"/>
    <w:rsid w:val="0032279D"/>
    <w:rsid w:val="00323244"/>
    <w:rsid w:val="00323341"/>
    <w:rsid w:val="00323399"/>
    <w:rsid w:val="0032385E"/>
    <w:rsid w:val="00323F87"/>
    <w:rsid w:val="003240CD"/>
    <w:rsid w:val="00325AAB"/>
    <w:rsid w:val="00325C68"/>
    <w:rsid w:val="0032620E"/>
    <w:rsid w:val="0032676E"/>
    <w:rsid w:val="00327DBE"/>
    <w:rsid w:val="00331190"/>
    <w:rsid w:val="00331316"/>
    <w:rsid w:val="00331527"/>
    <w:rsid w:val="00331915"/>
    <w:rsid w:val="00331E53"/>
    <w:rsid w:val="003320F1"/>
    <w:rsid w:val="00332D5D"/>
    <w:rsid w:val="0033302D"/>
    <w:rsid w:val="003330B0"/>
    <w:rsid w:val="003335B6"/>
    <w:rsid w:val="00333920"/>
    <w:rsid w:val="0033427E"/>
    <w:rsid w:val="00335164"/>
    <w:rsid w:val="003351A9"/>
    <w:rsid w:val="00335916"/>
    <w:rsid w:val="00335D31"/>
    <w:rsid w:val="00336281"/>
    <w:rsid w:val="0033661D"/>
    <w:rsid w:val="00336625"/>
    <w:rsid w:val="0033670F"/>
    <w:rsid w:val="00336B55"/>
    <w:rsid w:val="003371A1"/>
    <w:rsid w:val="0033721F"/>
    <w:rsid w:val="003373F9"/>
    <w:rsid w:val="00337820"/>
    <w:rsid w:val="00340190"/>
    <w:rsid w:val="003409EF"/>
    <w:rsid w:val="003413A1"/>
    <w:rsid w:val="00341D2E"/>
    <w:rsid w:val="00341DC3"/>
    <w:rsid w:val="0034208D"/>
    <w:rsid w:val="003424E1"/>
    <w:rsid w:val="00342A00"/>
    <w:rsid w:val="00342D9F"/>
    <w:rsid w:val="00343A4C"/>
    <w:rsid w:val="00343C1D"/>
    <w:rsid w:val="00343CF6"/>
    <w:rsid w:val="00344535"/>
    <w:rsid w:val="00344B6A"/>
    <w:rsid w:val="00345115"/>
    <w:rsid w:val="003459BC"/>
    <w:rsid w:val="00345A27"/>
    <w:rsid w:val="003469FA"/>
    <w:rsid w:val="00346E7F"/>
    <w:rsid w:val="00346EE2"/>
    <w:rsid w:val="00346F2C"/>
    <w:rsid w:val="00347232"/>
    <w:rsid w:val="00347A1C"/>
    <w:rsid w:val="00347A94"/>
    <w:rsid w:val="00347F6B"/>
    <w:rsid w:val="003507E2"/>
    <w:rsid w:val="003512C4"/>
    <w:rsid w:val="00351808"/>
    <w:rsid w:val="003519B9"/>
    <w:rsid w:val="00351B66"/>
    <w:rsid w:val="00351E39"/>
    <w:rsid w:val="00351E56"/>
    <w:rsid w:val="00352BF7"/>
    <w:rsid w:val="00352C3C"/>
    <w:rsid w:val="00353259"/>
    <w:rsid w:val="0035402C"/>
    <w:rsid w:val="003545D5"/>
    <w:rsid w:val="00355A5E"/>
    <w:rsid w:val="00355FA6"/>
    <w:rsid w:val="003564F5"/>
    <w:rsid w:val="00356AE4"/>
    <w:rsid w:val="00356BBE"/>
    <w:rsid w:val="003572BA"/>
    <w:rsid w:val="00357975"/>
    <w:rsid w:val="00357A82"/>
    <w:rsid w:val="00357DC9"/>
    <w:rsid w:val="00357ED1"/>
    <w:rsid w:val="0036283C"/>
    <w:rsid w:val="00362D2E"/>
    <w:rsid w:val="0036313D"/>
    <w:rsid w:val="00363996"/>
    <w:rsid w:val="00363DBF"/>
    <w:rsid w:val="003642AF"/>
    <w:rsid w:val="00364558"/>
    <w:rsid w:val="00365440"/>
    <w:rsid w:val="003670E9"/>
    <w:rsid w:val="003673BB"/>
    <w:rsid w:val="003702D3"/>
    <w:rsid w:val="0037097E"/>
    <w:rsid w:val="00370BF7"/>
    <w:rsid w:val="003716AA"/>
    <w:rsid w:val="003716DA"/>
    <w:rsid w:val="0037318F"/>
    <w:rsid w:val="003734EB"/>
    <w:rsid w:val="00373AA4"/>
    <w:rsid w:val="00373C42"/>
    <w:rsid w:val="003743C4"/>
    <w:rsid w:val="00374CF2"/>
    <w:rsid w:val="00374D7D"/>
    <w:rsid w:val="00374F3D"/>
    <w:rsid w:val="00375638"/>
    <w:rsid w:val="003760F3"/>
    <w:rsid w:val="00376D64"/>
    <w:rsid w:val="003770AC"/>
    <w:rsid w:val="00377408"/>
    <w:rsid w:val="003777FA"/>
    <w:rsid w:val="00377845"/>
    <w:rsid w:val="003800AC"/>
    <w:rsid w:val="00380384"/>
    <w:rsid w:val="00380466"/>
    <w:rsid w:val="0038175D"/>
    <w:rsid w:val="003818A3"/>
    <w:rsid w:val="003819DF"/>
    <w:rsid w:val="00381ACC"/>
    <w:rsid w:val="003838EF"/>
    <w:rsid w:val="003839F9"/>
    <w:rsid w:val="00383BE6"/>
    <w:rsid w:val="00384600"/>
    <w:rsid w:val="003847C9"/>
    <w:rsid w:val="00384D3D"/>
    <w:rsid w:val="0038561E"/>
    <w:rsid w:val="00385BA0"/>
    <w:rsid w:val="00386740"/>
    <w:rsid w:val="00386E41"/>
    <w:rsid w:val="00387450"/>
    <w:rsid w:val="00387C6C"/>
    <w:rsid w:val="003901C6"/>
    <w:rsid w:val="003905A2"/>
    <w:rsid w:val="00391397"/>
    <w:rsid w:val="0039147E"/>
    <w:rsid w:val="003916E4"/>
    <w:rsid w:val="00391D9C"/>
    <w:rsid w:val="003926B6"/>
    <w:rsid w:val="00392787"/>
    <w:rsid w:val="003936F7"/>
    <w:rsid w:val="00393947"/>
    <w:rsid w:val="00393A29"/>
    <w:rsid w:val="00394E4F"/>
    <w:rsid w:val="00395031"/>
    <w:rsid w:val="00396C36"/>
    <w:rsid w:val="00397535"/>
    <w:rsid w:val="00397EE5"/>
    <w:rsid w:val="003A03CB"/>
    <w:rsid w:val="003A0527"/>
    <w:rsid w:val="003A09C9"/>
    <w:rsid w:val="003A1726"/>
    <w:rsid w:val="003A2023"/>
    <w:rsid w:val="003A3214"/>
    <w:rsid w:val="003A3FF8"/>
    <w:rsid w:val="003A40D3"/>
    <w:rsid w:val="003A4A3B"/>
    <w:rsid w:val="003A4BF6"/>
    <w:rsid w:val="003A4D6D"/>
    <w:rsid w:val="003A4F4F"/>
    <w:rsid w:val="003A505D"/>
    <w:rsid w:val="003A5438"/>
    <w:rsid w:val="003A61FB"/>
    <w:rsid w:val="003A6FFD"/>
    <w:rsid w:val="003A7B83"/>
    <w:rsid w:val="003B03F9"/>
    <w:rsid w:val="003B0431"/>
    <w:rsid w:val="003B0D24"/>
    <w:rsid w:val="003B12E5"/>
    <w:rsid w:val="003B1DC9"/>
    <w:rsid w:val="003B1E67"/>
    <w:rsid w:val="003B276E"/>
    <w:rsid w:val="003B28C9"/>
    <w:rsid w:val="003B33A5"/>
    <w:rsid w:val="003B3EFE"/>
    <w:rsid w:val="003B415D"/>
    <w:rsid w:val="003B4509"/>
    <w:rsid w:val="003B588A"/>
    <w:rsid w:val="003B7345"/>
    <w:rsid w:val="003B774B"/>
    <w:rsid w:val="003C0545"/>
    <w:rsid w:val="003C0836"/>
    <w:rsid w:val="003C0B67"/>
    <w:rsid w:val="003C1193"/>
    <w:rsid w:val="003C2AD6"/>
    <w:rsid w:val="003C3033"/>
    <w:rsid w:val="003C3116"/>
    <w:rsid w:val="003C384B"/>
    <w:rsid w:val="003C3CD5"/>
    <w:rsid w:val="003C42AB"/>
    <w:rsid w:val="003C4E10"/>
    <w:rsid w:val="003C5074"/>
    <w:rsid w:val="003C5496"/>
    <w:rsid w:val="003C5897"/>
    <w:rsid w:val="003C61E2"/>
    <w:rsid w:val="003C65D0"/>
    <w:rsid w:val="003C6CDD"/>
    <w:rsid w:val="003C76A4"/>
    <w:rsid w:val="003C7C5E"/>
    <w:rsid w:val="003C7D42"/>
    <w:rsid w:val="003D06AE"/>
    <w:rsid w:val="003D08CA"/>
    <w:rsid w:val="003D09E0"/>
    <w:rsid w:val="003D0A71"/>
    <w:rsid w:val="003D15CC"/>
    <w:rsid w:val="003D1974"/>
    <w:rsid w:val="003D2891"/>
    <w:rsid w:val="003D37A1"/>
    <w:rsid w:val="003D3BAA"/>
    <w:rsid w:val="003D462A"/>
    <w:rsid w:val="003D4934"/>
    <w:rsid w:val="003D5190"/>
    <w:rsid w:val="003D561A"/>
    <w:rsid w:val="003D5B86"/>
    <w:rsid w:val="003D622F"/>
    <w:rsid w:val="003D6342"/>
    <w:rsid w:val="003D637C"/>
    <w:rsid w:val="003D6521"/>
    <w:rsid w:val="003D6A76"/>
    <w:rsid w:val="003D6CFF"/>
    <w:rsid w:val="003E02AC"/>
    <w:rsid w:val="003E1383"/>
    <w:rsid w:val="003E13E6"/>
    <w:rsid w:val="003E1ADB"/>
    <w:rsid w:val="003E1EFD"/>
    <w:rsid w:val="003E1F21"/>
    <w:rsid w:val="003E3341"/>
    <w:rsid w:val="003E4AC3"/>
    <w:rsid w:val="003E5595"/>
    <w:rsid w:val="003E5C1F"/>
    <w:rsid w:val="003E6281"/>
    <w:rsid w:val="003E65AC"/>
    <w:rsid w:val="003E6AA3"/>
    <w:rsid w:val="003E7496"/>
    <w:rsid w:val="003E7677"/>
    <w:rsid w:val="003E7699"/>
    <w:rsid w:val="003E7847"/>
    <w:rsid w:val="003E7966"/>
    <w:rsid w:val="003E7EEF"/>
    <w:rsid w:val="003E7F5F"/>
    <w:rsid w:val="003F0909"/>
    <w:rsid w:val="003F0BF4"/>
    <w:rsid w:val="003F0C5C"/>
    <w:rsid w:val="003F12E6"/>
    <w:rsid w:val="003F1899"/>
    <w:rsid w:val="003F18AE"/>
    <w:rsid w:val="003F21DF"/>
    <w:rsid w:val="003F28FF"/>
    <w:rsid w:val="003F3C92"/>
    <w:rsid w:val="003F4D47"/>
    <w:rsid w:val="003F5891"/>
    <w:rsid w:val="003F5DE5"/>
    <w:rsid w:val="003F5F36"/>
    <w:rsid w:val="003F6007"/>
    <w:rsid w:val="003F7159"/>
    <w:rsid w:val="003F7962"/>
    <w:rsid w:val="003F7F1A"/>
    <w:rsid w:val="0040051E"/>
    <w:rsid w:val="00400E15"/>
    <w:rsid w:val="00401C45"/>
    <w:rsid w:val="00402486"/>
    <w:rsid w:val="00402533"/>
    <w:rsid w:val="004038F6"/>
    <w:rsid w:val="0040414C"/>
    <w:rsid w:val="00404674"/>
    <w:rsid w:val="00404C16"/>
    <w:rsid w:val="00404D46"/>
    <w:rsid w:val="0040597E"/>
    <w:rsid w:val="004062DB"/>
    <w:rsid w:val="00406CE3"/>
    <w:rsid w:val="00406DBC"/>
    <w:rsid w:val="00407F49"/>
    <w:rsid w:val="00411347"/>
    <w:rsid w:val="00411472"/>
    <w:rsid w:val="00411532"/>
    <w:rsid w:val="004117A7"/>
    <w:rsid w:val="0041223E"/>
    <w:rsid w:val="004132E5"/>
    <w:rsid w:val="004136B8"/>
    <w:rsid w:val="0041386A"/>
    <w:rsid w:val="00413CBE"/>
    <w:rsid w:val="00413F97"/>
    <w:rsid w:val="00415049"/>
    <w:rsid w:val="00415838"/>
    <w:rsid w:val="004158A2"/>
    <w:rsid w:val="004163AA"/>
    <w:rsid w:val="004164F5"/>
    <w:rsid w:val="0041721E"/>
    <w:rsid w:val="00417CAB"/>
    <w:rsid w:val="0042066A"/>
    <w:rsid w:val="00421FB2"/>
    <w:rsid w:val="00422303"/>
    <w:rsid w:val="004230D8"/>
    <w:rsid w:val="0042358F"/>
    <w:rsid w:val="0042379C"/>
    <w:rsid w:val="0042427B"/>
    <w:rsid w:val="00424F6D"/>
    <w:rsid w:val="004253AE"/>
    <w:rsid w:val="00425730"/>
    <w:rsid w:val="00426073"/>
    <w:rsid w:val="00426658"/>
    <w:rsid w:val="00427FF2"/>
    <w:rsid w:val="004306B5"/>
    <w:rsid w:val="00430B8F"/>
    <w:rsid w:val="004313B2"/>
    <w:rsid w:val="004318BA"/>
    <w:rsid w:val="00431C93"/>
    <w:rsid w:val="00431D08"/>
    <w:rsid w:val="0043200A"/>
    <w:rsid w:val="00432708"/>
    <w:rsid w:val="0043330D"/>
    <w:rsid w:val="00433759"/>
    <w:rsid w:val="00434289"/>
    <w:rsid w:val="00434578"/>
    <w:rsid w:val="00435204"/>
    <w:rsid w:val="004361F8"/>
    <w:rsid w:val="00436F81"/>
    <w:rsid w:val="00437486"/>
    <w:rsid w:val="00437F28"/>
    <w:rsid w:val="0044070F"/>
    <w:rsid w:val="004408F8"/>
    <w:rsid w:val="00440EE9"/>
    <w:rsid w:val="00441429"/>
    <w:rsid w:val="00441571"/>
    <w:rsid w:val="0044230E"/>
    <w:rsid w:val="004434E8"/>
    <w:rsid w:val="00443AAF"/>
    <w:rsid w:val="00443BD0"/>
    <w:rsid w:val="00444018"/>
    <w:rsid w:val="00444EBD"/>
    <w:rsid w:val="00444FA9"/>
    <w:rsid w:val="00445584"/>
    <w:rsid w:val="00445A1B"/>
    <w:rsid w:val="00445CB1"/>
    <w:rsid w:val="00446332"/>
    <w:rsid w:val="00446357"/>
    <w:rsid w:val="00446B61"/>
    <w:rsid w:val="004471DF"/>
    <w:rsid w:val="004473AB"/>
    <w:rsid w:val="0044755C"/>
    <w:rsid w:val="00447774"/>
    <w:rsid w:val="004501F9"/>
    <w:rsid w:val="00450393"/>
    <w:rsid w:val="004504C6"/>
    <w:rsid w:val="00450701"/>
    <w:rsid w:val="0045173D"/>
    <w:rsid w:val="0045198F"/>
    <w:rsid w:val="004519DB"/>
    <w:rsid w:val="004526AD"/>
    <w:rsid w:val="004532C5"/>
    <w:rsid w:val="00454606"/>
    <w:rsid w:val="00454E57"/>
    <w:rsid w:val="00455CCF"/>
    <w:rsid w:val="00455E26"/>
    <w:rsid w:val="00456D2C"/>
    <w:rsid w:val="00457269"/>
    <w:rsid w:val="00457944"/>
    <w:rsid w:val="00457A97"/>
    <w:rsid w:val="00460703"/>
    <w:rsid w:val="0046091E"/>
    <w:rsid w:val="00460BEF"/>
    <w:rsid w:val="004620E1"/>
    <w:rsid w:val="004623C5"/>
    <w:rsid w:val="0046249C"/>
    <w:rsid w:val="00462573"/>
    <w:rsid w:val="00462F59"/>
    <w:rsid w:val="0046382A"/>
    <w:rsid w:val="004638EC"/>
    <w:rsid w:val="00463A82"/>
    <w:rsid w:val="00463E95"/>
    <w:rsid w:val="004647B3"/>
    <w:rsid w:val="004648E9"/>
    <w:rsid w:val="00464ACC"/>
    <w:rsid w:val="00464F1A"/>
    <w:rsid w:val="00465AC2"/>
    <w:rsid w:val="00465C3B"/>
    <w:rsid w:val="00465FD7"/>
    <w:rsid w:val="004670A5"/>
    <w:rsid w:val="00471A07"/>
    <w:rsid w:val="00472B71"/>
    <w:rsid w:val="00472C62"/>
    <w:rsid w:val="00472DEB"/>
    <w:rsid w:val="00472E1E"/>
    <w:rsid w:val="00472F71"/>
    <w:rsid w:val="00473BC9"/>
    <w:rsid w:val="00474E24"/>
    <w:rsid w:val="0047506B"/>
    <w:rsid w:val="00475DFC"/>
    <w:rsid w:val="004760A0"/>
    <w:rsid w:val="004761A5"/>
    <w:rsid w:val="0047659B"/>
    <w:rsid w:val="00477E76"/>
    <w:rsid w:val="0048052C"/>
    <w:rsid w:val="004806F7"/>
    <w:rsid w:val="00480FD0"/>
    <w:rsid w:val="00481181"/>
    <w:rsid w:val="00481AB6"/>
    <w:rsid w:val="00482299"/>
    <w:rsid w:val="0048340F"/>
    <w:rsid w:val="00483582"/>
    <w:rsid w:val="004844B5"/>
    <w:rsid w:val="0048494D"/>
    <w:rsid w:val="00484B9B"/>
    <w:rsid w:val="00484C37"/>
    <w:rsid w:val="00484EB5"/>
    <w:rsid w:val="004851B2"/>
    <w:rsid w:val="00485678"/>
    <w:rsid w:val="00485E6C"/>
    <w:rsid w:val="004861F3"/>
    <w:rsid w:val="004863BA"/>
    <w:rsid w:val="00486A68"/>
    <w:rsid w:val="00486CF7"/>
    <w:rsid w:val="00487611"/>
    <w:rsid w:val="00487712"/>
    <w:rsid w:val="00487FC7"/>
    <w:rsid w:val="004902EF"/>
    <w:rsid w:val="00490F55"/>
    <w:rsid w:val="00490FC3"/>
    <w:rsid w:val="00491002"/>
    <w:rsid w:val="00491654"/>
    <w:rsid w:val="00491E50"/>
    <w:rsid w:val="00491FE7"/>
    <w:rsid w:val="004924CD"/>
    <w:rsid w:val="00492B96"/>
    <w:rsid w:val="00493899"/>
    <w:rsid w:val="00493D02"/>
    <w:rsid w:val="00493F37"/>
    <w:rsid w:val="0049416B"/>
    <w:rsid w:val="004951AE"/>
    <w:rsid w:val="00495463"/>
    <w:rsid w:val="00495464"/>
    <w:rsid w:val="004958D4"/>
    <w:rsid w:val="0049692C"/>
    <w:rsid w:val="00497982"/>
    <w:rsid w:val="00497984"/>
    <w:rsid w:val="004A0259"/>
    <w:rsid w:val="004A02B0"/>
    <w:rsid w:val="004A1448"/>
    <w:rsid w:val="004A1CA5"/>
    <w:rsid w:val="004A1F44"/>
    <w:rsid w:val="004A2C53"/>
    <w:rsid w:val="004A2CD9"/>
    <w:rsid w:val="004A2EBB"/>
    <w:rsid w:val="004A2F2F"/>
    <w:rsid w:val="004A35DA"/>
    <w:rsid w:val="004A3D15"/>
    <w:rsid w:val="004A41EE"/>
    <w:rsid w:val="004A43C7"/>
    <w:rsid w:val="004A4746"/>
    <w:rsid w:val="004A4DF4"/>
    <w:rsid w:val="004A598C"/>
    <w:rsid w:val="004A5CAD"/>
    <w:rsid w:val="004A6A06"/>
    <w:rsid w:val="004A6FCC"/>
    <w:rsid w:val="004B0B2B"/>
    <w:rsid w:val="004B1583"/>
    <w:rsid w:val="004B1B9C"/>
    <w:rsid w:val="004B1E73"/>
    <w:rsid w:val="004B2163"/>
    <w:rsid w:val="004B2469"/>
    <w:rsid w:val="004B2850"/>
    <w:rsid w:val="004B2959"/>
    <w:rsid w:val="004B3670"/>
    <w:rsid w:val="004B3CDA"/>
    <w:rsid w:val="004B4DB8"/>
    <w:rsid w:val="004B5734"/>
    <w:rsid w:val="004B5EC3"/>
    <w:rsid w:val="004B6C08"/>
    <w:rsid w:val="004B6F81"/>
    <w:rsid w:val="004B7420"/>
    <w:rsid w:val="004B7423"/>
    <w:rsid w:val="004C0B23"/>
    <w:rsid w:val="004C120A"/>
    <w:rsid w:val="004C129C"/>
    <w:rsid w:val="004C22B1"/>
    <w:rsid w:val="004C240A"/>
    <w:rsid w:val="004C2467"/>
    <w:rsid w:val="004C2513"/>
    <w:rsid w:val="004C31F8"/>
    <w:rsid w:val="004C3506"/>
    <w:rsid w:val="004C35AD"/>
    <w:rsid w:val="004C3B72"/>
    <w:rsid w:val="004C49FF"/>
    <w:rsid w:val="004C503B"/>
    <w:rsid w:val="004C5A5B"/>
    <w:rsid w:val="004C5C13"/>
    <w:rsid w:val="004C62A2"/>
    <w:rsid w:val="004C63B6"/>
    <w:rsid w:val="004C6EBA"/>
    <w:rsid w:val="004C72CB"/>
    <w:rsid w:val="004C7673"/>
    <w:rsid w:val="004C7DED"/>
    <w:rsid w:val="004D0282"/>
    <w:rsid w:val="004D0B9D"/>
    <w:rsid w:val="004D1AB2"/>
    <w:rsid w:val="004D1EAC"/>
    <w:rsid w:val="004D2195"/>
    <w:rsid w:val="004D27A1"/>
    <w:rsid w:val="004D2E2E"/>
    <w:rsid w:val="004D2FDB"/>
    <w:rsid w:val="004D3711"/>
    <w:rsid w:val="004D3A15"/>
    <w:rsid w:val="004D3B87"/>
    <w:rsid w:val="004D44F4"/>
    <w:rsid w:val="004D4A00"/>
    <w:rsid w:val="004D4CE4"/>
    <w:rsid w:val="004D61C2"/>
    <w:rsid w:val="004D6F5B"/>
    <w:rsid w:val="004E0275"/>
    <w:rsid w:val="004E0999"/>
    <w:rsid w:val="004E0B1D"/>
    <w:rsid w:val="004E1359"/>
    <w:rsid w:val="004E1666"/>
    <w:rsid w:val="004E1847"/>
    <w:rsid w:val="004E1B62"/>
    <w:rsid w:val="004E2C4E"/>
    <w:rsid w:val="004E3503"/>
    <w:rsid w:val="004E39F9"/>
    <w:rsid w:val="004E3AAB"/>
    <w:rsid w:val="004E3AAC"/>
    <w:rsid w:val="004E4AB8"/>
    <w:rsid w:val="004E518D"/>
    <w:rsid w:val="004E521E"/>
    <w:rsid w:val="004E53E9"/>
    <w:rsid w:val="004E681F"/>
    <w:rsid w:val="004E74F6"/>
    <w:rsid w:val="004E7BF0"/>
    <w:rsid w:val="004E7EB5"/>
    <w:rsid w:val="004F0326"/>
    <w:rsid w:val="004F0722"/>
    <w:rsid w:val="004F0DBE"/>
    <w:rsid w:val="004F0E07"/>
    <w:rsid w:val="004F14CC"/>
    <w:rsid w:val="004F216D"/>
    <w:rsid w:val="004F273C"/>
    <w:rsid w:val="004F301A"/>
    <w:rsid w:val="004F35AE"/>
    <w:rsid w:val="004F361F"/>
    <w:rsid w:val="004F3F2B"/>
    <w:rsid w:val="004F4AF4"/>
    <w:rsid w:val="004F6D5D"/>
    <w:rsid w:val="004F7017"/>
    <w:rsid w:val="004F78CA"/>
    <w:rsid w:val="004F79CD"/>
    <w:rsid w:val="005006BD"/>
    <w:rsid w:val="00500769"/>
    <w:rsid w:val="00500DEF"/>
    <w:rsid w:val="00500EA8"/>
    <w:rsid w:val="005014CD"/>
    <w:rsid w:val="00501D0F"/>
    <w:rsid w:val="005020A5"/>
    <w:rsid w:val="005020D3"/>
    <w:rsid w:val="005024F3"/>
    <w:rsid w:val="0050364D"/>
    <w:rsid w:val="00503AC5"/>
    <w:rsid w:val="00504343"/>
    <w:rsid w:val="00505ADD"/>
    <w:rsid w:val="00505EC8"/>
    <w:rsid w:val="005062CE"/>
    <w:rsid w:val="0050631D"/>
    <w:rsid w:val="0050661F"/>
    <w:rsid w:val="00506F92"/>
    <w:rsid w:val="005071C9"/>
    <w:rsid w:val="00510203"/>
    <w:rsid w:val="00510224"/>
    <w:rsid w:val="00511173"/>
    <w:rsid w:val="005112B1"/>
    <w:rsid w:val="005116A2"/>
    <w:rsid w:val="00511FA4"/>
    <w:rsid w:val="00512365"/>
    <w:rsid w:val="00512978"/>
    <w:rsid w:val="00512A35"/>
    <w:rsid w:val="005142D3"/>
    <w:rsid w:val="005143C7"/>
    <w:rsid w:val="005147E5"/>
    <w:rsid w:val="00514D87"/>
    <w:rsid w:val="00515556"/>
    <w:rsid w:val="005155EA"/>
    <w:rsid w:val="00515790"/>
    <w:rsid w:val="00515801"/>
    <w:rsid w:val="00515D47"/>
    <w:rsid w:val="00516B99"/>
    <w:rsid w:val="00517D8D"/>
    <w:rsid w:val="00517F72"/>
    <w:rsid w:val="00520548"/>
    <w:rsid w:val="00520A5E"/>
    <w:rsid w:val="00520DEB"/>
    <w:rsid w:val="0052105F"/>
    <w:rsid w:val="00521763"/>
    <w:rsid w:val="00521B9A"/>
    <w:rsid w:val="0052205D"/>
    <w:rsid w:val="00522E47"/>
    <w:rsid w:val="00523801"/>
    <w:rsid w:val="00523CC2"/>
    <w:rsid w:val="00523E4F"/>
    <w:rsid w:val="0052409D"/>
    <w:rsid w:val="005252A9"/>
    <w:rsid w:val="00525A7E"/>
    <w:rsid w:val="00525D6E"/>
    <w:rsid w:val="00525FE1"/>
    <w:rsid w:val="005265D6"/>
    <w:rsid w:val="00526DD3"/>
    <w:rsid w:val="0053026E"/>
    <w:rsid w:val="00530C27"/>
    <w:rsid w:val="00530C28"/>
    <w:rsid w:val="00530EE4"/>
    <w:rsid w:val="005316BB"/>
    <w:rsid w:val="00531F09"/>
    <w:rsid w:val="00532899"/>
    <w:rsid w:val="00532E67"/>
    <w:rsid w:val="0053382F"/>
    <w:rsid w:val="00533D0C"/>
    <w:rsid w:val="005342BF"/>
    <w:rsid w:val="005342EA"/>
    <w:rsid w:val="00534474"/>
    <w:rsid w:val="00534F22"/>
    <w:rsid w:val="00535699"/>
    <w:rsid w:val="00535C61"/>
    <w:rsid w:val="00535D16"/>
    <w:rsid w:val="00536141"/>
    <w:rsid w:val="00536BD7"/>
    <w:rsid w:val="00536FE1"/>
    <w:rsid w:val="00537322"/>
    <w:rsid w:val="00537936"/>
    <w:rsid w:val="00537B20"/>
    <w:rsid w:val="005406F7"/>
    <w:rsid w:val="00540AFB"/>
    <w:rsid w:val="00540C95"/>
    <w:rsid w:val="00541495"/>
    <w:rsid w:val="005433FE"/>
    <w:rsid w:val="00543CC6"/>
    <w:rsid w:val="00543D42"/>
    <w:rsid w:val="00543E19"/>
    <w:rsid w:val="00544CBA"/>
    <w:rsid w:val="00544EC5"/>
    <w:rsid w:val="00544FC0"/>
    <w:rsid w:val="005450FB"/>
    <w:rsid w:val="005452D8"/>
    <w:rsid w:val="00545AF4"/>
    <w:rsid w:val="00545DFB"/>
    <w:rsid w:val="005466AA"/>
    <w:rsid w:val="00547068"/>
    <w:rsid w:val="00547464"/>
    <w:rsid w:val="00547BB5"/>
    <w:rsid w:val="00547BE1"/>
    <w:rsid w:val="00550988"/>
    <w:rsid w:val="00552022"/>
    <w:rsid w:val="0055270D"/>
    <w:rsid w:val="00552852"/>
    <w:rsid w:val="00552F9A"/>
    <w:rsid w:val="00553040"/>
    <w:rsid w:val="00553366"/>
    <w:rsid w:val="00553430"/>
    <w:rsid w:val="005537AA"/>
    <w:rsid w:val="00553A51"/>
    <w:rsid w:val="00554C7B"/>
    <w:rsid w:val="00555101"/>
    <w:rsid w:val="00555198"/>
    <w:rsid w:val="0055555B"/>
    <w:rsid w:val="005558DA"/>
    <w:rsid w:val="00556F54"/>
    <w:rsid w:val="00560B46"/>
    <w:rsid w:val="0056138F"/>
    <w:rsid w:val="00561406"/>
    <w:rsid w:val="00561680"/>
    <w:rsid w:val="005622AC"/>
    <w:rsid w:val="00562925"/>
    <w:rsid w:val="00562B78"/>
    <w:rsid w:val="00562EBD"/>
    <w:rsid w:val="005634EC"/>
    <w:rsid w:val="00563561"/>
    <w:rsid w:val="005639B0"/>
    <w:rsid w:val="00563D2D"/>
    <w:rsid w:val="00564000"/>
    <w:rsid w:val="005640E3"/>
    <w:rsid w:val="00565013"/>
    <w:rsid w:val="00565701"/>
    <w:rsid w:val="00565B97"/>
    <w:rsid w:val="00566A9B"/>
    <w:rsid w:val="00566F8E"/>
    <w:rsid w:val="00567119"/>
    <w:rsid w:val="005674A7"/>
    <w:rsid w:val="0057024B"/>
    <w:rsid w:val="00570CCF"/>
    <w:rsid w:val="00570DD8"/>
    <w:rsid w:val="00571130"/>
    <w:rsid w:val="00572198"/>
    <w:rsid w:val="005721F3"/>
    <w:rsid w:val="005724BB"/>
    <w:rsid w:val="005729AF"/>
    <w:rsid w:val="00573070"/>
    <w:rsid w:val="00573B1C"/>
    <w:rsid w:val="0057451C"/>
    <w:rsid w:val="0057459C"/>
    <w:rsid w:val="00574D4E"/>
    <w:rsid w:val="00575304"/>
    <w:rsid w:val="0057574A"/>
    <w:rsid w:val="00576896"/>
    <w:rsid w:val="00577415"/>
    <w:rsid w:val="005777FE"/>
    <w:rsid w:val="00577C4A"/>
    <w:rsid w:val="00577C9F"/>
    <w:rsid w:val="00577DD7"/>
    <w:rsid w:val="005801CF"/>
    <w:rsid w:val="00580213"/>
    <w:rsid w:val="00580256"/>
    <w:rsid w:val="00580455"/>
    <w:rsid w:val="0058049E"/>
    <w:rsid w:val="0058056B"/>
    <w:rsid w:val="0058060B"/>
    <w:rsid w:val="00580FCD"/>
    <w:rsid w:val="005812EF"/>
    <w:rsid w:val="0058142D"/>
    <w:rsid w:val="00581975"/>
    <w:rsid w:val="005819D3"/>
    <w:rsid w:val="00581B9F"/>
    <w:rsid w:val="005822CE"/>
    <w:rsid w:val="005824E0"/>
    <w:rsid w:val="0058264E"/>
    <w:rsid w:val="0058293F"/>
    <w:rsid w:val="00582E3C"/>
    <w:rsid w:val="00582E7A"/>
    <w:rsid w:val="00582F77"/>
    <w:rsid w:val="005840E5"/>
    <w:rsid w:val="0058482D"/>
    <w:rsid w:val="00584A8C"/>
    <w:rsid w:val="00587F0A"/>
    <w:rsid w:val="005900EC"/>
    <w:rsid w:val="0059017D"/>
    <w:rsid w:val="00590524"/>
    <w:rsid w:val="005908EF"/>
    <w:rsid w:val="0059094B"/>
    <w:rsid w:val="00591588"/>
    <w:rsid w:val="005918AA"/>
    <w:rsid w:val="005920CA"/>
    <w:rsid w:val="005924FB"/>
    <w:rsid w:val="00592666"/>
    <w:rsid w:val="00592CCB"/>
    <w:rsid w:val="005931C4"/>
    <w:rsid w:val="0059337D"/>
    <w:rsid w:val="005934A2"/>
    <w:rsid w:val="005938DC"/>
    <w:rsid w:val="0059514D"/>
    <w:rsid w:val="005952AF"/>
    <w:rsid w:val="00595554"/>
    <w:rsid w:val="00595D8F"/>
    <w:rsid w:val="00596023"/>
    <w:rsid w:val="0059667A"/>
    <w:rsid w:val="0059670B"/>
    <w:rsid w:val="005971A8"/>
    <w:rsid w:val="0059720C"/>
    <w:rsid w:val="00597652"/>
    <w:rsid w:val="00597E3E"/>
    <w:rsid w:val="005A15A8"/>
    <w:rsid w:val="005A1832"/>
    <w:rsid w:val="005A1E1D"/>
    <w:rsid w:val="005A1E3A"/>
    <w:rsid w:val="005A2600"/>
    <w:rsid w:val="005A3126"/>
    <w:rsid w:val="005A315D"/>
    <w:rsid w:val="005A3392"/>
    <w:rsid w:val="005A366E"/>
    <w:rsid w:val="005A43F3"/>
    <w:rsid w:val="005A496C"/>
    <w:rsid w:val="005A4B63"/>
    <w:rsid w:val="005A5069"/>
    <w:rsid w:val="005A616A"/>
    <w:rsid w:val="005A6810"/>
    <w:rsid w:val="005A6D08"/>
    <w:rsid w:val="005A763F"/>
    <w:rsid w:val="005A7DE9"/>
    <w:rsid w:val="005B0C1C"/>
    <w:rsid w:val="005B0F77"/>
    <w:rsid w:val="005B110E"/>
    <w:rsid w:val="005B1D97"/>
    <w:rsid w:val="005B233E"/>
    <w:rsid w:val="005B30DB"/>
    <w:rsid w:val="005B32E3"/>
    <w:rsid w:val="005B3D1C"/>
    <w:rsid w:val="005B441D"/>
    <w:rsid w:val="005B4869"/>
    <w:rsid w:val="005B49F1"/>
    <w:rsid w:val="005B5276"/>
    <w:rsid w:val="005B578E"/>
    <w:rsid w:val="005B5F10"/>
    <w:rsid w:val="005B6416"/>
    <w:rsid w:val="005B68D7"/>
    <w:rsid w:val="005B6CA1"/>
    <w:rsid w:val="005B7703"/>
    <w:rsid w:val="005B7D29"/>
    <w:rsid w:val="005B7DA5"/>
    <w:rsid w:val="005C0F8B"/>
    <w:rsid w:val="005C0FBE"/>
    <w:rsid w:val="005C1423"/>
    <w:rsid w:val="005C247D"/>
    <w:rsid w:val="005C2959"/>
    <w:rsid w:val="005C2EE3"/>
    <w:rsid w:val="005C368D"/>
    <w:rsid w:val="005C39B3"/>
    <w:rsid w:val="005C3ACF"/>
    <w:rsid w:val="005C4377"/>
    <w:rsid w:val="005C4767"/>
    <w:rsid w:val="005C5C85"/>
    <w:rsid w:val="005C5E90"/>
    <w:rsid w:val="005C62FD"/>
    <w:rsid w:val="005C67EE"/>
    <w:rsid w:val="005C7633"/>
    <w:rsid w:val="005C7ED8"/>
    <w:rsid w:val="005D02D0"/>
    <w:rsid w:val="005D0B2E"/>
    <w:rsid w:val="005D10A7"/>
    <w:rsid w:val="005D1454"/>
    <w:rsid w:val="005D149A"/>
    <w:rsid w:val="005D1916"/>
    <w:rsid w:val="005D1F24"/>
    <w:rsid w:val="005D1F3C"/>
    <w:rsid w:val="005D2DEC"/>
    <w:rsid w:val="005D3760"/>
    <w:rsid w:val="005D3BE7"/>
    <w:rsid w:val="005D3D7B"/>
    <w:rsid w:val="005D47AD"/>
    <w:rsid w:val="005D4883"/>
    <w:rsid w:val="005D5485"/>
    <w:rsid w:val="005D6246"/>
    <w:rsid w:val="005D6435"/>
    <w:rsid w:val="005D6570"/>
    <w:rsid w:val="005D6EFC"/>
    <w:rsid w:val="005D7438"/>
    <w:rsid w:val="005D7AB9"/>
    <w:rsid w:val="005D7CDC"/>
    <w:rsid w:val="005E0815"/>
    <w:rsid w:val="005E0C09"/>
    <w:rsid w:val="005E279D"/>
    <w:rsid w:val="005E3553"/>
    <w:rsid w:val="005E38D7"/>
    <w:rsid w:val="005E42F3"/>
    <w:rsid w:val="005E432B"/>
    <w:rsid w:val="005E4EBF"/>
    <w:rsid w:val="005E4F03"/>
    <w:rsid w:val="005E50C5"/>
    <w:rsid w:val="005E5422"/>
    <w:rsid w:val="005E6B78"/>
    <w:rsid w:val="005E6F1C"/>
    <w:rsid w:val="005E7CAB"/>
    <w:rsid w:val="005F04A2"/>
    <w:rsid w:val="005F0695"/>
    <w:rsid w:val="005F1B9C"/>
    <w:rsid w:val="005F2D50"/>
    <w:rsid w:val="005F2D98"/>
    <w:rsid w:val="005F2ED6"/>
    <w:rsid w:val="005F33BF"/>
    <w:rsid w:val="005F410A"/>
    <w:rsid w:val="005F44B3"/>
    <w:rsid w:val="005F4E3E"/>
    <w:rsid w:val="005F4EE5"/>
    <w:rsid w:val="005F52FB"/>
    <w:rsid w:val="005F54F7"/>
    <w:rsid w:val="005F583C"/>
    <w:rsid w:val="005F5905"/>
    <w:rsid w:val="005F5EE1"/>
    <w:rsid w:val="005F6054"/>
    <w:rsid w:val="005F6101"/>
    <w:rsid w:val="005F6E33"/>
    <w:rsid w:val="005F7834"/>
    <w:rsid w:val="005F7F1F"/>
    <w:rsid w:val="00600893"/>
    <w:rsid w:val="00600DDB"/>
    <w:rsid w:val="006011DA"/>
    <w:rsid w:val="00601489"/>
    <w:rsid w:val="00602103"/>
    <w:rsid w:val="00602337"/>
    <w:rsid w:val="00602543"/>
    <w:rsid w:val="0060256E"/>
    <w:rsid w:val="0060261F"/>
    <w:rsid w:val="006028BD"/>
    <w:rsid w:val="00602957"/>
    <w:rsid w:val="0060341B"/>
    <w:rsid w:val="00603A41"/>
    <w:rsid w:val="00604288"/>
    <w:rsid w:val="00604372"/>
    <w:rsid w:val="00604529"/>
    <w:rsid w:val="00604AAF"/>
    <w:rsid w:val="00604EDB"/>
    <w:rsid w:val="00604F70"/>
    <w:rsid w:val="00606301"/>
    <w:rsid w:val="0060647F"/>
    <w:rsid w:val="006069D7"/>
    <w:rsid w:val="00606E0B"/>
    <w:rsid w:val="00606ECA"/>
    <w:rsid w:val="0060751D"/>
    <w:rsid w:val="00607D61"/>
    <w:rsid w:val="0061089D"/>
    <w:rsid w:val="00610CA7"/>
    <w:rsid w:val="006112F7"/>
    <w:rsid w:val="0061180A"/>
    <w:rsid w:val="00611A6D"/>
    <w:rsid w:val="00611C13"/>
    <w:rsid w:val="00612C0F"/>
    <w:rsid w:val="0061316E"/>
    <w:rsid w:val="006139B9"/>
    <w:rsid w:val="00613B26"/>
    <w:rsid w:val="00613C74"/>
    <w:rsid w:val="006145DC"/>
    <w:rsid w:val="00615223"/>
    <w:rsid w:val="006152D4"/>
    <w:rsid w:val="00615419"/>
    <w:rsid w:val="0061570E"/>
    <w:rsid w:val="0061592C"/>
    <w:rsid w:val="00615D21"/>
    <w:rsid w:val="00616187"/>
    <w:rsid w:val="006162FC"/>
    <w:rsid w:val="00617477"/>
    <w:rsid w:val="006175EB"/>
    <w:rsid w:val="00617BB8"/>
    <w:rsid w:val="0062038D"/>
    <w:rsid w:val="006206E9"/>
    <w:rsid w:val="006207CA"/>
    <w:rsid w:val="0062133B"/>
    <w:rsid w:val="006216D3"/>
    <w:rsid w:val="00621BAB"/>
    <w:rsid w:val="00623977"/>
    <w:rsid w:val="00623E26"/>
    <w:rsid w:val="006240EB"/>
    <w:rsid w:val="006241F2"/>
    <w:rsid w:val="00624660"/>
    <w:rsid w:val="00626855"/>
    <w:rsid w:val="00626A5C"/>
    <w:rsid w:val="00626D54"/>
    <w:rsid w:val="00627315"/>
    <w:rsid w:val="0063062F"/>
    <w:rsid w:val="0063078E"/>
    <w:rsid w:val="0063086D"/>
    <w:rsid w:val="006308C2"/>
    <w:rsid w:val="00631C5D"/>
    <w:rsid w:val="00631EDA"/>
    <w:rsid w:val="00632544"/>
    <w:rsid w:val="00632ADE"/>
    <w:rsid w:val="00632CC4"/>
    <w:rsid w:val="0063387E"/>
    <w:rsid w:val="00633C4B"/>
    <w:rsid w:val="00634540"/>
    <w:rsid w:val="00634F2F"/>
    <w:rsid w:val="00635844"/>
    <w:rsid w:val="006358D7"/>
    <w:rsid w:val="0063618F"/>
    <w:rsid w:val="0063655E"/>
    <w:rsid w:val="00636D39"/>
    <w:rsid w:val="00636E88"/>
    <w:rsid w:val="006371A8"/>
    <w:rsid w:val="006376E2"/>
    <w:rsid w:val="00637963"/>
    <w:rsid w:val="00637B57"/>
    <w:rsid w:val="00637B87"/>
    <w:rsid w:val="00637F20"/>
    <w:rsid w:val="00640141"/>
    <w:rsid w:val="006405FE"/>
    <w:rsid w:val="00640630"/>
    <w:rsid w:val="00640D61"/>
    <w:rsid w:val="006410F6"/>
    <w:rsid w:val="00641345"/>
    <w:rsid w:val="00641922"/>
    <w:rsid w:val="00641979"/>
    <w:rsid w:val="00641AF2"/>
    <w:rsid w:val="006426C4"/>
    <w:rsid w:val="00642AB4"/>
    <w:rsid w:val="00642BC4"/>
    <w:rsid w:val="00643329"/>
    <w:rsid w:val="006437C6"/>
    <w:rsid w:val="006439B1"/>
    <w:rsid w:val="00644B1D"/>
    <w:rsid w:val="006457D2"/>
    <w:rsid w:val="00645FD5"/>
    <w:rsid w:val="0064650C"/>
    <w:rsid w:val="006466D0"/>
    <w:rsid w:val="00647538"/>
    <w:rsid w:val="00647921"/>
    <w:rsid w:val="00647DF8"/>
    <w:rsid w:val="00650E25"/>
    <w:rsid w:val="00651690"/>
    <w:rsid w:val="00651F9A"/>
    <w:rsid w:val="006525CB"/>
    <w:rsid w:val="006528F8"/>
    <w:rsid w:val="00652BC8"/>
    <w:rsid w:val="00652D74"/>
    <w:rsid w:val="006539C4"/>
    <w:rsid w:val="00653A2E"/>
    <w:rsid w:val="00653B4C"/>
    <w:rsid w:val="006542B0"/>
    <w:rsid w:val="006545A4"/>
    <w:rsid w:val="00654725"/>
    <w:rsid w:val="00654963"/>
    <w:rsid w:val="006549FB"/>
    <w:rsid w:val="006552AB"/>
    <w:rsid w:val="00655C60"/>
    <w:rsid w:val="00655F47"/>
    <w:rsid w:val="0065611B"/>
    <w:rsid w:val="00656621"/>
    <w:rsid w:val="006567A1"/>
    <w:rsid w:val="00657D5C"/>
    <w:rsid w:val="00657FF1"/>
    <w:rsid w:val="0066073A"/>
    <w:rsid w:val="00660CBC"/>
    <w:rsid w:val="006611EB"/>
    <w:rsid w:val="00661865"/>
    <w:rsid w:val="006620D2"/>
    <w:rsid w:val="00662DE7"/>
    <w:rsid w:val="00663839"/>
    <w:rsid w:val="00663BB4"/>
    <w:rsid w:val="0066439D"/>
    <w:rsid w:val="006648F9"/>
    <w:rsid w:val="0066532D"/>
    <w:rsid w:val="00666374"/>
    <w:rsid w:val="00666773"/>
    <w:rsid w:val="00667D08"/>
    <w:rsid w:val="00667F08"/>
    <w:rsid w:val="00670028"/>
    <w:rsid w:val="00670359"/>
    <w:rsid w:val="0067063C"/>
    <w:rsid w:val="0067072B"/>
    <w:rsid w:val="00670AC6"/>
    <w:rsid w:val="00670EE8"/>
    <w:rsid w:val="0067139E"/>
    <w:rsid w:val="00671B6D"/>
    <w:rsid w:val="00672C17"/>
    <w:rsid w:val="00672CE3"/>
    <w:rsid w:val="00673A20"/>
    <w:rsid w:val="00673F60"/>
    <w:rsid w:val="00674D8A"/>
    <w:rsid w:val="00675413"/>
    <w:rsid w:val="006766E8"/>
    <w:rsid w:val="006767B8"/>
    <w:rsid w:val="00676808"/>
    <w:rsid w:val="0067686A"/>
    <w:rsid w:val="00676A8E"/>
    <w:rsid w:val="00677BC1"/>
    <w:rsid w:val="00680099"/>
    <w:rsid w:val="00680760"/>
    <w:rsid w:val="00680F4F"/>
    <w:rsid w:val="00681338"/>
    <w:rsid w:val="0068176E"/>
    <w:rsid w:val="00681DE7"/>
    <w:rsid w:val="00682A28"/>
    <w:rsid w:val="0068314A"/>
    <w:rsid w:val="006834EF"/>
    <w:rsid w:val="006838A3"/>
    <w:rsid w:val="006847CA"/>
    <w:rsid w:val="00684A52"/>
    <w:rsid w:val="00684DC9"/>
    <w:rsid w:val="006850CC"/>
    <w:rsid w:val="00686BD0"/>
    <w:rsid w:val="006902B0"/>
    <w:rsid w:val="006904D9"/>
    <w:rsid w:val="006909D4"/>
    <w:rsid w:val="006909E4"/>
    <w:rsid w:val="006910EC"/>
    <w:rsid w:val="006914D8"/>
    <w:rsid w:val="006916DE"/>
    <w:rsid w:val="00691B05"/>
    <w:rsid w:val="00691D65"/>
    <w:rsid w:val="00691EFB"/>
    <w:rsid w:val="00692146"/>
    <w:rsid w:val="006928D4"/>
    <w:rsid w:val="00693003"/>
    <w:rsid w:val="00694D0F"/>
    <w:rsid w:val="00694FEA"/>
    <w:rsid w:val="00695F34"/>
    <w:rsid w:val="0069648E"/>
    <w:rsid w:val="00696493"/>
    <w:rsid w:val="00697450"/>
    <w:rsid w:val="006977A0"/>
    <w:rsid w:val="00697D81"/>
    <w:rsid w:val="006A0561"/>
    <w:rsid w:val="006A124D"/>
    <w:rsid w:val="006A1614"/>
    <w:rsid w:val="006A1A56"/>
    <w:rsid w:val="006A1DFF"/>
    <w:rsid w:val="006A2244"/>
    <w:rsid w:val="006A263F"/>
    <w:rsid w:val="006A2727"/>
    <w:rsid w:val="006A2856"/>
    <w:rsid w:val="006A342F"/>
    <w:rsid w:val="006A4C0B"/>
    <w:rsid w:val="006A5441"/>
    <w:rsid w:val="006A6194"/>
    <w:rsid w:val="006A6EFE"/>
    <w:rsid w:val="006A70E3"/>
    <w:rsid w:val="006A7599"/>
    <w:rsid w:val="006A7F35"/>
    <w:rsid w:val="006B061F"/>
    <w:rsid w:val="006B0663"/>
    <w:rsid w:val="006B0BCE"/>
    <w:rsid w:val="006B1109"/>
    <w:rsid w:val="006B2174"/>
    <w:rsid w:val="006B2621"/>
    <w:rsid w:val="006B2BDE"/>
    <w:rsid w:val="006B3FA2"/>
    <w:rsid w:val="006B50C9"/>
    <w:rsid w:val="006B55DB"/>
    <w:rsid w:val="006B5783"/>
    <w:rsid w:val="006B6481"/>
    <w:rsid w:val="006B7003"/>
    <w:rsid w:val="006B7540"/>
    <w:rsid w:val="006B7737"/>
    <w:rsid w:val="006B7C70"/>
    <w:rsid w:val="006C068C"/>
    <w:rsid w:val="006C0F19"/>
    <w:rsid w:val="006C138A"/>
    <w:rsid w:val="006C1634"/>
    <w:rsid w:val="006C20D4"/>
    <w:rsid w:val="006C2226"/>
    <w:rsid w:val="006C2320"/>
    <w:rsid w:val="006C29AA"/>
    <w:rsid w:val="006C3641"/>
    <w:rsid w:val="006C38D5"/>
    <w:rsid w:val="006C536F"/>
    <w:rsid w:val="006C6125"/>
    <w:rsid w:val="006C649A"/>
    <w:rsid w:val="006C7B09"/>
    <w:rsid w:val="006C7F6A"/>
    <w:rsid w:val="006D0C00"/>
    <w:rsid w:val="006D1356"/>
    <w:rsid w:val="006D138E"/>
    <w:rsid w:val="006D19A3"/>
    <w:rsid w:val="006D1A9E"/>
    <w:rsid w:val="006D29B4"/>
    <w:rsid w:val="006D2DDF"/>
    <w:rsid w:val="006D3275"/>
    <w:rsid w:val="006D347E"/>
    <w:rsid w:val="006D3862"/>
    <w:rsid w:val="006D4AE6"/>
    <w:rsid w:val="006D54D4"/>
    <w:rsid w:val="006D58A0"/>
    <w:rsid w:val="006D5A00"/>
    <w:rsid w:val="006D5AA2"/>
    <w:rsid w:val="006D6116"/>
    <w:rsid w:val="006D6AAE"/>
    <w:rsid w:val="006D6E18"/>
    <w:rsid w:val="006D6E1F"/>
    <w:rsid w:val="006D6FB2"/>
    <w:rsid w:val="006D75F8"/>
    <w:rsid w:val="006D7AE5"/>
    <w:rsid w:val="006D7AF7"/>
    <w:rsid w:val="006E00E0"/>
    <w:rsid w:val="006E031A"/>
    <w:rsid w:val="006E0FE7"/>
    <w:rsid w:val="006E1839"/>
    <w:rsid w:val="006E1952"/>
    <w:rsid w:val="006E27EE"/>
    <w:rsid w:val="006E2EC0"/>
    <w:rsid w:val="006E35C6"/>
    <w:rsid w:val="006E40A1"/>
    <w:rsid w:val="006E41C5"/>
    <w:rsid w:val="006E48C0"/>
    <w:rsid w:val="006E4B77"/>
    <w:rsid w:val="006E530D"/>
    <w:rsid w:val="006E7874"/>
    <w:rsid w:val="006E7B4B"/>
    <w:rsid w:val="006E7B95"/>
    <w:rsid w:val="006F11AE"/>
    <w:rsid w:val="006F1662"/>
    <w:rsid w:val="006F1BEE"/>
    <w:rsid w:val="006F1E40"/>
    <w:rsid w:val="006F1F36"/>
    <w:rsid w:val="006F2034"/>
    <w:rsid w:val="006F25B6"/>
    <w:rsid w:val="006F316A"/>
    <w:rsid w:val="006F3577"/>
    <w:rsid w:val="006F35A4"/>
    <w:rsid w:val="006F39A3"/>
    <w:rsid w:val="006F3C68"/>
    <w:rsid w:val="006F3D7D"/>
    <w:rsid w:val="006F454E"/>
    <w:rsid w:val="006F4A57"/>
    <w:rsid w:val="006F4CCD"/>
    <w:rsid w:val="006F5657"/>
    <w:rsid w:val="006F58C1"/>
    <w:rsid w:val="006F62E5"/>
    <w:rsid w:val="006F6875"/>
    <w:rsid w:val="006F6CE1"/>
    <w:rsid w:val="006F75D2"/>
    <w:rsid w:val="006F7E91"/>
    <w:rsid w:val="006F7E9E"/>
    <w:rsid w:val="007008B0"/>
    <w:rsid w:val="0070132E"/>
    <w:rsid w:val="00701AA1"/>
    <w:rsid w:val="00701CB7"/>
    <w:rsid w:val="00702785"/>
    <w:rsid w:val="00702D91"/>
    <w:rsid w:val="00702F4F"/>
    <w:rsid w:val="0070327F"/>
    <w:rsid w:val="007033CE"/>
    <w:rsid w:val="00703619"/>
    <w:rsid w:val="007037C6"/>
    <w:rsid w:val="00703CEA"/>
    <w:rsid w:val="00704AD7"/>
    <w:rsid w:val="00704DE5"/>
    <w:rsid w:val="00705C07"/>
    <w:rsid w:val="00705F46"/>
    <w:rsid w:val="00706314"/>
    <w:rsid w:val="0070636F"/>
    <w:rsid w:val="007068FC"/>
    <w:rsid w:val="00706A50"/>
    <w:rsid w:val="00707132"/>
    <w:rsid w:val="00707FBC"/>
    <w:rsid w:val="00710F97"/>
    <w:rsid w:val="0071117D"/>
    <w:rsid w:val="00711C50"/>
    <w:rsid w:val="007124F5"/>
    <w:rsid w:val="00712C8F"/>
    <w:rsid w:val="00713289"/>
    <w:rsid w:val="00713D39"/>
    <w:rsid w:val="00714530"/>
    <w:rsid w:val="00714664"/>
    <w:rsid w:val="00715216"/>
    <w:rsid w:val="007163E2"/>
    <w:rsid w:val="0071642F"/>
    <w:rsid w:val="00716EE0"/>
    <w:rsid w:val="00717734"/>
    <w:rsid w:val="0072015C"/>
    <w:rsid w:val="007206E9"/>
    <w:rsid w:val="0072314F"/>
    <w:rsid w:val="00723D42"/>
    <w:rsid w:val="0072413C"/>
    <w:rsid w:val="007249AA"/>
    <w:rsid w:val="00724D4C"/>
    <w:rsid w:val="00725C1B"/>
    <w:rsid w:val="00726A09"/>
    <w:rsid w:val="007270F8"/>
    <w:rsid w:val="007275AF"/>
    <w:rsid w:val="00727A09"/>
    <w:rsid w:val="00730A1B"/>
    <w:rsid w:val="00731EDC"/>
    <w:rsid w:val="007322E1"/>
    <w:rsid w:val="0073283C"/>
    <w:rsid w:val="00733AE0"/>
    <w:rsid w:val="00733C02"/>
    <w:rsid w:val="00734062"/>
    <w:rsid w:val="00734220"/>
    <w:rsid w:val="00734FC3"/>
    <w:rsid w:val="0073522D"/>
    <w:rsid w:val="00735551"/>
    <w:rsid w:val="00735B60"/>
    <w:rsid w:val="00735CE1"/>
    <w:rsid w:val="00736557"/>
    <w:rsid w:val="007366B8"/>
    <w:rsid w:val="00736AB2"/>
    <w:rsid w:val="007374FB"/>
    <w:rsid w:val="00737E80"/>
    <w:rsid w:val="00740628"/>
    <w:rsid w:val="007407B0"/>
    <w:rsid w:val="00740BD4"/>
    <w:rsid w:val="00740F50"/>
    <w:rsid w:val="00741922"/>
    <w:rsid w:val="00741A1A"/>
    <w:rsid w:val="00741E8E"/>
    <w:rsid w:val="0074202A"/>
    <w:rsid w:val="0074272A"/>
    <w:rsid w:val="007430DA"/>
    <w:rsid w:val="007435A2"/>
    <w:rsid w:val="007447F4"/>
    <w:rsid w:val="00744AD0"/>
    <w:rsid w:val="00745758"/>
    <w:rsid w:val="00745D68"/>
    <w:rsid w:val="007465FE"/>
    <w:rsid w:val="00746BB2"/>
    <w:rsid w:val="00746CC5"/>
    <w:rsid w:val="00746E5D"/>
    <w:rsid w:val="007471DD"/>
    <w:rsid w:val="0075025C"/>
    <w:rsid w:val="00750DFB"/>
    <w:rsid w:val="00751DCE"/>
    <w:rsid w:val="007520E6"/>
    <w:rsid w:val="00752525"/>
    <w:rsid w:val="0075321C"/>
    <w:rsid w:val="007533E0"/>
    <w:rsid w:val="0075360D"/>
    <w:rsid w:val="00753631"/>
    <w:rsid w:val="00753BB0"/>
    <w:rsid w:val="007540C5"/>
    <w:rsid w:val="00754BF6"/>
    <w:rsid w:val="007551CC"/>
    <w:rsid w:val="00755837"/>
    <w:rsid w:val="00755DE1"/>
    <w:rsid w:val="00756894"/>
    <w:rsid w:val="00757C01"/>
    <w:rsid w:val="00757EBC"/>
    <w:rsid w:val="00762E23"/>
    <w:rsid w:val="0076310B"/>
    <w:rsid w:val="007637BC"/>
    <w:rsid w:val="00763834"/>
    <w:rsid w:val="00763A1A"/>
    <w:rsid w:val="00764012"/>
    <w:rsid w:val="00765169"/>
    <w:rsid w:val="00765ACF"/>
    <w:rsid w:val="00765E94"/>
    <w:rsid w:val="00766F40"/>
    <w:rsid w:val="00767369"/>
    <w:rsid w:val="00767DB2"/>
    <w:rsid w:val="007708DE"/>
    <w:rsid w:val="007709D8"/>
    <w:rsid w:val="00770AB0"/>
    <w:rsid w:val="00770D08"/>
    <w:rsid w:val="00771A5E"/>
    <w:rsid w:val="00771DB5"/>
    <w:rsid w:val="0077224A"/>
    <w:rsid w:val="007725F7"/>
    <w:rsid w:val="00772966"/>
    <w:rsid w:val="00772968"/>
    <w:rsid w:val="00772FB2"/>
    <w:rsid w:val="00773940"/>
    <w:rsid w:val="007739A0"/>
    <w:rsid w:val="007749E5"/>
    <w:rsid w:val="00775B1A"/>
    <w:rsid w:val="00775D52"/>
    <w:rsid w:val="00776066"/>
    <w:rsid w:val="00776B37"/>
    <w:rsid w:val="0078013D"/>
    <w:rsid w:val="007805A6"/>
    <w:rsid w:val="007813DD"/>
    <w:rsid w:val="00781512"/>
    <w:rsid w:val="00781A05"/>
    <w:rsid w:val="00781AED"/>
    <w:rsid w:val="0078248F"/>
    <w:rsid w:val="00783717"/>
    <w:rsid w:val="00783F76"/>
    <w:rsid w:val="00784274"/>
    <w:rsid w:val="00785391"/>
    <w:rsid w:val="007853EB"/>
    <w:rsid w:val="00786139"/>
    <w:rsid w:val="00786ADF"/>
    <w:rsid w:val="00787371"/>
    <w:rsid w:val="00787A88"/>
    <w:rsid w:val="00790C2C"/>
    <w:rsid w:val="007913B6"/>
    <w:rsid w:val="00793E50"/>
    <w:rsid w:val="007945E9"/>
    <w:rsid w:val="007952A1"/>
    <w:rsid w:val="0079536A"/>
    <w:rsid w:val="0079561D"/>
    <w:rsid w:val="00796599"/>
    <w:rsid w:val="00796A62"/>
    <w:rsid w:val="00796FCD"/>
    <w:rsid w:val="00797036"/>
    <w:rsid w:val="00797293"/>
    <w:rsid w:val="007A0EDD"/>
    <w:rsid w:val="007A11D5"/>
    <w:rsid w:val="007A1B95"/>
    <w:rsid w:val="007A2482"/>
    <w:rsid w:val="007A265D"/>
    <w:rsid w:val="007A2A9D"/>
    <w:rsid w:val="007A31A0"/>
    <w:rsid w:val="007A347E"/>
    <w:rsid w:val="007A41AA"/>
    <w:rsid w:val="007A499C"/>
    <w:rsid w:val="007A4D79"/>
    <w:rsid w:val="007A4D9E"/>
    <w:rsid w:val="007A4E3C"/>
    <w:rsid w:val="007A515E"/>
    <w:rsid w:val="007A556D"/>
    <w:rsid w:val="007A6828"/>
    <w:rsid w:val="007A6850"/>
    <w:rsid w:val="007A77D2"/>
    <w:rsid w:val="007A78F5"/>
    <w:rsid w:val="007A7D50"/>
    <w:rsid w:val="007B091B"/>
    <w:rsid w:val="007B14FB"/>
    <w:rsid w:val="007B18C4"/>
    <w:rsid w:val="007B1EBC"/>
    <w:rsid w:val="007B29BE"/>
    <w:rsid w:val="007B31D5"/>
    <w:rsid w:val="007B3FA0"/>
    <w:rsid w:val="007B4213"/>
    <w:rsid w:val="007B432D"/>
    <w:rsid w:val="007B4ED4"/>
    <w:rsid w:val="007B5BF7"/>
    <w:rsid w:val="007B6918"/>
    <w:rsid w:val="007B6F17"/>
    <w:rsid w:val="007B71FB"/>
    <w:rsid w:val="007B7AC0"/>
    <w:rsid w:val="007B7ACC"/>
    <w:rsid w:val="007C0000"/>
    <w:rsid w:val="007C0E0D"/>
    <w:rsid w:val="007C1A2D"/>
    <w:rsid w:val="007C1A5E"/>
    <w:rsid w:val="007C1AFA"/>
    <w:rsid w:val="007C29F8"/>
    <w:rsid w:val="007C2CA8"/>
    <w:rsid w:val="007C30BC"/>
    <w:rsid w:val="007C3DB4"/>
    <w:rsid w:val="007C4B59"/>
    <w:rsid w:val="007C55B7"/>
    <w:rsid w:val="007C62FB"/>
    <w:rsid w:val="007C6555"/>
    <w:rsid w:val="007C6DCC"/>
    <w:rsid w:val="007C73BB"/>
    <w:rsid w:val="007C79F0"/>
    <w:rsid w:val="007D03F6"/>
    <w:rsid w:val="007D0544"/>
    <w:rsid w:val="007D05F3"/>
    <w:rsid w:val="007D066D"/>
    <w:rsid w:val="007D09CE"/>
    <w:rsid w:val="007D09D2"/>
    <w:rsid w:val="007D13E0"/>
    <w:rsid w:val="007D1755"/>
    <w:rsid w:val="007D2163"/>
    <w:rsid w:val="007D2ABA"/>
    <w:rsid w:val="007D37CC"/>
    <w:rsid w:val="007D3D5A"/>
    <w:rsid w:val="007D413B"/>
    <w:rsid w:val="007D417C"/>
    <w:rsid w:val="007D4917"/>
    <w:rsid w:val="007D6023"/>
    <w:rsid w:val="007D6400"/>
    <w:rsid w:val="007D6FAC"/>
    <w:rsid w:val="007D7A51"/>
    <w:rsid w:val="007E06BD"/>
    <w:rsid w:val="007E1363"/>
    <w:rsid w:val="007E207A"/>
    <w:rsid w:val="007E35D9"/>
    <w:rsid w:val="007E3762"/>
    <w:rsid w:val="007E4B30"/>
    <w:rsid w:val="007E5B13"/>
    <w:rsid w:val="007E743B"/>
    <w:rsid w:val="007E7E42"/>
    <w:rsid w:val="007F016D"/>
    <w:rsid w:val="007F1BB0"/>
    <w:rsid w:val="007F1E4E"/>
    <w:rsid w:val="007F2017"/>
    <w:rsid w:val="007F21B7"/>
    <w:rsid w:val="007F2BD2"/>
    <w:rsid w:val="007F2C3D"/>
    <w:rsid w:val="007F3B0B"/>
    <w:rsid w:val="007F3DE0"/>
    <w:rsid w:val="007F3F6F"/>
    <w:rsid w:val="007F45E8"/>
    <w:rsid w:val="007F483F"/>
    <w:rsid w:val="007F572A"/>
    <w:rsid w:val="007F64E8"/>
    <w:rsid w:val="007F6672"/>
    <w:rsid w:val="007F677E"/>
    <w:rsid w:val="007F7085"/>
    <w:rsid w:val="00800517"/>
    <w:rsid w:val="008005C3"/>
    <w:rsid w:val="00800A08"/>
    <w:rsid w:val="00800B4D"/>
    <w:rsid w:val="00801B62"/>
    <w:rsid w:val="00801D02"/>
    <w:rsid w:val="00801D1C"/>
    <w:rsid w:val="0080260C"/>
    <w:rsid w:val="00802F3F"/>
    <w:rsid w:val="00803821"/>
    <w:rsid w:val="00803A10"/>
    <w:rsid w:val="00803AD1"/>
    <w:rsid w:val="00804FA0"/>
    <w:rsid w:val="008052DA"/>
    <w:rsid w:val="00805668"/>
    <w:rsid w:val="0080581D"/>
    <w:rsid w:val="00806040"/>
    <w:rsid w:val="0080616C"/>
    <w:rsid w:val="008066A6"/>
    <w:rsid w:val="00807074"/>
    <w:rsid w:val="0080750C"/>
    <w:rsid w:val="00807D3D"/>
    <w:rsid w:val="00807EC9"/>
    <w:rsid w:val="0081004C"/>
    <w:rsid w:val="008101C0"/>
    <w:rsid w:val="00811516"/>
    <w:rsid w:val="008119F8"/>
    <w:rsid w:val="00811D4E"/>
    <w:rsid w:val="008120ED"/>
    <w:rsid w:val="008127B3"/>
    <w:rsid w:val="0081334D"/>
    <w:rsid w:val="00813E7E"/>
    <w:rsid w:val="00813F2B"/>
    <w:rsid w:val="0081487E"/>
    <w:rsid w:val="00814DE8"/>
    <w:rsid w:val="00814FDB"/>
    <w:rsid w:val="0081591A"/>
    <w:rsid w:val="00815A2F"/>
    <w:rsid w:val="00816BF4"/>
    <w:rsid w:val="00816D83"/>
    <w:rsid w:val="00816F1B"/>
    <w:rsid w:val="00816F72"/>
    <w:rsid w:val="00817E9C"/>
    <w:rsid w:val="0082064E"/>
    <w:rsid w:val="00820E0F"/>
    <w:rsid w:val="00820E7F"/>
    <w:rsid w:val="00820FE1"/>
    <w:rsid w:val="00822238"/>
    <w:rsid w:val="008230F4"/>
    <w:rsid w:val="008241A6"/>
    <w:rsid w:val="0082482F"/>
    <w:rsid w:val="00825FFB"/>
    <w:rsid w:val="0082632A"/>
    <w:rsid w:val="00827562"/>
    <w:rsid w:val="008302A3"/>
    <w:rsid w:val="008309FF"/>
    <w:rsid w:val="00831709"/>
    <w:rsid w:val="00831CB0"/>
    <w:rsid w:val="00831FF8"/>
    <w:rsid w:val="00832275"/>
    <w:rsid w:val="00832B1B"/>
    <w:rsid w:val="0083319E"/>
    <w:rsid w:val="008340B7"/>
    <w:rsid w:val="00834E81"/>
    <w:rsid w:val="00834F30"/>
    <w:rsid w:val="00835492"/>
    <w:rsid w:val="0083571D"/>
    <w:rsid w:val="008357B4"/>
    <w:rsid w:val="008377A5"/>
    <w:rsid w:val="00837F0D"/>
    <w:rsid w:val="008408B6"/>
    <w:rsid w:val="00841A5B"/>
    <w:rsid w:val="00841F37"/>
    <w:rsid w:val="008424C1"/>
    <w:rsid w:val="008426D9"/>
    <w:rsid w:val="008442BC"/>
    <w:rsid w:val="00844637"/>
    <w:rsid w:val="00844664"/>
    <w:rsid w:val="008446B2"/>
    <w:rsid w:val="008455BD"/>
    <w:rsid w:val="008458BA"/>
    <w:rsid w:val="00845E05"/>
    <w:rsid w:val="00846448"/>
    <w:rsid w:val="00846550"/>
    <w:rsid w:val="00846A4E"/>
    <w:rsid w:val="008479EC"/>
    <w:rsid w:val="00847AD4"/>
    <w:rsid w:val="0085140B"/>
    <w:rsid w:val="008516AE"/>
    <w:rsid w:val="008525BC"/>
    <w:rsid w:val="00852A05"/>
    <w:rsid w:val="00853251"/>
    <w:rsid w:val="00853E38"/>
    <w:rsid w:val="0085416B"/>
    <w:rsid w:val="008548A0"/>
    <w:rsid w:val="00854C21"/>
    <w:rsid w:val="00855063"/>
    <w:rsid w:val="008558A4"/>
    <w:rsid w:val="00855AEA"/>
    <w:rsid w:val="00856BA1"/>
    <w:rsid w:val="00856D85"/>
    <w:rsid w:val="00857398"/>
    <w:rsid w:val="0085766F"/>
    <w:rsid w:val="00857F72"/>
    <w:rsid w:val="008603A2"/>
    <w:rsid w:val="00860AFB"/>
    <w:rsid w:val="00860F06"/>
    <w:rsid w:val="008613E3"/>
    <w:rsid w:val="00861779"/>
    <w:rsid w:val="00861C5C"/>
    <w:rsid w:val="00862C1A"/>
    <w:rsid w:val="00862DCD"/>
    <w:rsid w:val="008657D9"/>
    <w:rsid w:val="00865F8A"/>
    <w:rsid w:val="00866BE7"/>
    <w:rsid w:val="008673A3"/>
    <w:rsid w:val="0086786E"/>
    <w:rsid w:val="0087070D"/>
    <w:rsid w:val="00870BE3"/>
    <w:rsid w:val="00870DF1"/>
    <w:rsid w:val="008713A1"/>
    <w:rsid w:val="00871EA8"/>
    <w:rsid w:val="0087201D"/>
    <w:rsid w:val="008720A0"/>
    <w:rsid w:val="008723F1"/>
    <w:rsid w:val="00872619"/>
    <w:rsid w:val="0087286B"/>
    <w:rsid w:val="00873058"/>
    <w:rsid w:val="00873823"/>
    <w:rsid w:val="00874449"/>
    <w:rsid w:val="00874AEE"/>
    <w:rsid w:val="00874CEF"/>
    <w:rsid w:val="00875663"/>
    <w:rsid w:val="0087583A"/>
    <w:rsid w:val="00875FA5"/>
    <w:rsid w:val="00876104"/>
    <w:rsid w:val="008762E9"/>
    <w:rsid w:val="008767CB"/>
    <w:rsid w:val="008769D3"/>
    <w:rsid w:val="00876C89"/>
    <w:rsid w:val="0088171E"/>
    <w:rsid w:val="0088244A"/>
    <w:rsid w:val="00883568"/>
    <w:rsid w:val="00883667"/>
    <w:rsid w:val="00883A71"/>
    <w:rsid w:val="00885DDC"/>
    <w:rsid w:val="008867A2"/>
    <w:rsid w:val="00890203"/>
    <w:rsid w:val="00890AF2"/>
    <w:rsid w:val="00891E76"/>
    <w:rsid w:val="00891F09"/>
    <w:rsid w:val="00891F70"/>
    <w:rsid w:val="008920A7"/>
    <w:rsid w:val="00892140"/>
    <w:rsid w:val="00892298"/>
    <w:rsid w:val="00892381"/>
    <w:rsid w:val="00893D01"/>
    <w:rsid w:val="00894E24"/>
    <w:rsid w:val="0089529F"/>
    <w:rsid w:val="00895921"/>
    <w:rsid w:val="008961B6"/>
    <w:rsid w:val="00896399"/>
    <w:rsid w:val="0089683E"/>
    <w:rsid w:val="00896E04"/>
    <w:rsid w:val="00896FED"/>
    <w:rsid w:val="008A031C"/>
    <w:rsid w:val="008A0852"/>
    <w:rsid w:val="008A0A60"/>
    <w:rsid w:val="008A1327"/>
    <w:rsid w:val="008A13D4"/>
    <w:rsid w:val="008A1B5F"/>
    <w:rsid w:val="008A375A"/>
    <w:rsid w:val="008A3CBD"/>
    <w:rsid w:val="008A3D06"/>
    <w:rsid w:val="008A3E1F"/>
    <w:rsid w:val="008A3FD0"/>
    <w:rsid w:val="008A4119"/>
    <w:rsid w:val="008A41E0"/>
    <w:rsid w:val="008A5063"/>
    <w:rsid w:val="008A506E"/>
    <w:rsid w:val="008A5CB1"/>
    <w:rsid w:val="008A5DF4"/>
    <w:rsid w:val="008A6421"/>
    <w:rsid w:val="008A72CB"/>
    <w:rsid w:val="008A75FB"/>
    <w:rsid w:val="008B0011"/>
    <w:rsid w:val="008B0B21"/>
    <w:rsid w:val="008B0EDD"/>
    <w:rsid w:val="008B0FD1"/>
    <w:rsid w:val="008B1EB4"/>
    <w:rsid w:val="008B27D2"/>
    <w:rsid w:val="008B2BCF"/>
    <w:rsid w:val="008B2C66"/>
    <w:rsid w:val="008B5FDB"/>
    <w:rsid w:val="008B66EA"/>
    <w:rsid w:val="008B6B53"/>
    <w:rsid w:val="008C02D3"/>
    <w:rsid w:val="008C0880"/>
    <w:rsid w:val="008C12BD"/>
    <w:rsid w:val="008C251E"/>
    <w:rsid w:val="008C2FF6"/>
    <w:rsid w:val="008C3599"/>
    <w:rsid w:val="008C383E"/>
    <w:rsid w:val="008C3B24"/>
    <w:rsid w:val="008C3DC3"/>
    <w:rsid w:val="008C3DE4"/>
    <w:rsid w:val="008C5CBA"/>
    <w:rsid w:val="008C5F14"/>
    <w:rsid w:val="008C61C6"/>
    <w:rsid w:val="008C6FFB"/>
    <w:rsid w:val="008C723E"/>
    <w:rsid w:val="008C7592"/>
    <w:rsid w:val="008C7706"/>
    <w:rsid w:val="008C7A80"/>
    <w:rsid w:val="008C7D8E"/>
    <w:rsid w:val="008D03E8"/>
    <w:rsid w:val="008D071A"/>
    <w:rsid w:val="008D0845"/>
    <w:rsid w:val="008D1347"/>
    <w:rsid w:val="008D1D5B"/>
    <w:rsid w:val="008D1F98"/>
    <w:rsid w:val="008D26A0"/>
    <w:rsid w:val="008D2734"/>
    <w:rsid w:val="008D2C73"/>
    <w:rsid w:val="008D319C"/>
    <w:rsid w:val="008D3E52"/>
    <w:rsid w:val="008D4041"/>
    <w:rsid w:val="008D4D6F"/>
    <w:rsid w:val="008D4F20"/>
    <w:rsid w:val="008D4FA1"/>
    <w:rsid w:val="008D51EF"/>
    <w:rsid w:val="008D55FF"/>
    <w:rsid w:val="008D576E"/>
    <w:rsid w:val="008D5FB0"/>
    <w:rsid w:val="008D6321"/>
    <w:rsid w:val="008D693B"/>
    <w:rsid w:val="008D69CA"/>
    <w:rsid w:val="008D6CDC"/>
    <w:rsid w:val="008D7276"/>
    <w:rsid w:val="008D7A02"/>
    <w:rsid w:val="008D7C73"/>
    <w:rsid w:val="008E012A"/>
    <w:rsid w:val="008E05C1"/>
    <w:rsid w:val="008E096C"/>
    <w:rsid w:val="008E10DF"/>
    <w:rsid w:val="008E15EF"/>
    <w:rsid w:val="008E1C44"/>
    <w:rsid w:val="008E1E97"/>
    <w:rsid w:val="008E219C"/>
    <w:rsid w:val="008E21F9"/>
    <w:rsid w:val="008E2C75"/>
    <w:rsid w:val="008E34D1"/>
    <w:rsid w:val="008E48BA"/>
    <w:rsid w:val="008E490B"/>
    <w:rsid w:val="008E4DA1"/>
    <w:rsid w:val="008E4F34"/>
    <w:rsid w:val="008E61BB"/>
    <w:rsid w:val="008E649D"/>
    <w:rsid w:val="008E6635"/>
    <w:rsid w:val="008E698F"/>
    <w:rsid w:val="008E724E"/>
    <w:rsid w:val="008F0281"/>
    <w:rsid w:val="008F0C2C"/>
    <w:rsid w:val="008F0ED0"/>
    <w:rsid w:val="008F1033"/>
    <w:rsid w:val="008F142B"/>
    <w:rsid w:val="008F1CBF"/>
    <w:rsid w:val="008F236B"/>
    <w:rsid w:val="008F2BAC"/>
    <w:rsid w:val="008F2D96"/>
    <w:rsid w:val="008F3017"/>
    <w:rsid w:val="008F38F4"/>
    <w:rsid w:val="008F39F7"/>
    <w:rsid w:val="008F3BA9"/>
    <w:rsid w:val="008F4B1F"/>
    <w:rsid w:val="008F5872"/>
    <w:rsid w:val="008F594E"/>
    <w:rsid w:val="008F6A76"/>
    <w:rsid w:val="008F6AF2"/>
    <w:rsid w:val="008F6C4E"/>
    <w:rsid w:val="008F6DA0"/>
    <w:rsid w:val="008F6EB5"/>
    <w:rsid w:val="008F70F5"/>
    <w:rsid w:val="008F76AF"/>
    <w:rsid w:val="008F7A75"/>
    <w:rsid w:val="008F7B33"/>
    <w:rsid w:val="008F7E64"/>
    <w:rsid w:val="009000A3"/>
    <w:rsid w:val="00900D7E"/>
    <w:rsid w:val="009013F6"/>
    <w:rsid w:val="009015C5"/>
    <w:rsid w:val="0090276F"/>
    <w:rsid w:val="00902F87"/>
    <w:rsid w:val="00903D74"/>
    <w:rsid w:val="009041B7"/>
    <w:rsid w:val="00904379"/>
    <w:rsid w:val="009043CA"/>
    <w:rsid w:val="00904A48"/>
    <w:rsid w:val="00905058"/>
    <w:rsid w:val="0090511D"/>
    <w:rsid w:val="009052E7"/>
    <w:rsid w:val="009064CC"/>
    <w:rsid w:val="009065C5"/>
    <w:rsid w:val="00906BB4"/>
    <w:rsid w:val="00906E1B"/>
    <w:rsid w:val="00907558"/>
    <w:rsid w:val="00910A40"/>
    <w:rsid w:val="00910BF5"/>
    <w:rsid w:val="00910DF8"/>
    <w:rsid w:val="0091112F"/>
    <w:rsid w:val="00911901"/>
    <w:rsid w:val="00911C0E"/>
    <w:rsid w:val="009133D5"/>
    <w:rsid w:val="009133F4"/>
    <w:rsid w:val="00913A45"/>
    <w:rsid w:val="00913AF1"/>
    <w:rsid w:val="00913BA4"/>
    <w:rsid w:val="009148B7"/>
    <w:rsid w:val="00914ED5"/>
    <w:rsid w:val="00914FA4"/>
    <w:rsid w:val="00915391"/>
    <w:rsid w:val="0091543B"/>
    <w:rsid w:val="0091624D"/>
    <w:rsid w:val="00916936"/>
    <w:rsid w:val="00916B7B"/>
    <w:rsid w:val="00916DC1"/>
    <w:rsid w:val="00916ED6"/>
    <w:rsid w:val="00920CA3"/>
    <w:rsid w:val="00920E6C"/>
    <w:rsid w:val="009215D5"/>
    <w:rsid w:val="00921A83"/>
    <w:rsid w:val="00921D71"/>
    <w:rsid w:val="00921F17"/>
    <w:rsid w:val="00921FA3"/>
    <w:rsid w:val="00923CC0"/>
    <w:rsid w:val="00924029"/>
    <w:rsid w:val="009246AB"/>
    <w:rsid w:val="009246CD"/>
    <w:rsid w:val="0092489A"/>
    <w:rsid w:val="00924B53"/>
    <w:rsid w:val="00924EC9"/>
    <w:rsid w:val="0092525F"/>
    <w:rsid w:val="009255A5"/>
    <w:rsid w:val="00925A9C"/>
    <w:rsid w:val="00925F72"/>
    <w:rsid w:val="00926076"/>
    <w:rsid w:val="00926B63"/>
    <w:rsid w:val="00927AA5"/>
    <w:rsid w:val="00927D92"/>
    <w:rsid w:val="00930C63"/>
    <w:rsid w:val="00930F37"/>
    <w:rsid w:val="00930F61"/>
    <w:rsid w:val="00931BD6"/>
    <w:rsid w:val="00931FEC"/>
    <w:rsid w:val="00933104"/>
    <w:rsid w:val="009333CB"/>
    <w:rsid w:val="0093354F"/>
    <w:rsid w:val="00933AC0"/>
    <w:rsid w:val="00933CEC"/>
    <w:rsid w:val="00933CED"/>
    <w:rsid w:val="00934CB7"/>
    <w:rsid w:val="00934FA7"/>
    <w:rsid w:val="00935834"/>
    <w:rsid w:val="00935F33"/>
    <w:rsid w:val="00937C5C"/>
    <w:rsid w:val="00937D5E"/>
    <w:rsid w:val="009418E1"/>
    <w:rsid w:val="0094190F"/>
    <w:rsid w:val="00942849"/>
    <w:rsid w:val="00943396"/>
    <w:rsid w:val="0094369D"/>
    <w:rsid w:val="00943C2E"/>
    <w:rsid w:val="00943D19"/>
    <w:rsid w:val="00943DE7"/>
    <w:rsid w:val="0094403A"/>
    <w:rsid w:val="00944636"/>
    <w:rsid w:val="0094486D"/>
    <w:rsid w:val="00945D14"/>
    <w:rsid w:val="00945EC2"/>
    <w:rsid w:val="0094637F"/>
    <w:rsid w:val="00947128"/>
    <w:rsid w:val="00947C42"/>
    <w:rsid w:val="00947D5F"/>
    <w:rsid w:val="00947FFD"/>
    <w:rsid w:val="00950335"/>
    <w:rsid w:val="00950517"/>
    <w:rsid w:val="009506A0"/>
    <w:rsid w:val="00950BFA"/>
    <w:rsid w:val="00950EA7"/>
    <w:rsid w:val="00951166"/>
    <w:rsid w:val="0095137C"/>
    <w:rsid w:val="00951421"/>
    <w:rsid w:val="009528FF"/>
    <w:rsid w:val="00952DB4"/>
    <w:rsid w:val="009533D5"/>
    <w:rsid w:val="00953596"/>
    <w:rsid w:val="00953A06"/>
    <w:rsid w:val="00953FA4"/>
    <w:rsid w:val="009540FC"/>
    <w:rsid w:val="0095522F"/>
    <w:rsid w:val="00955C45"/>
    <w:rsid w:val="0095659E"/>
    <w:rsid w:val="00956D1B"/>
    <w:rsid w:val="009572BE"/>
    <w:rsid w:val="00960403"/>
    <w:rsid w:val="00961132"/>
    <w:rsid w:val="009612BD"/>
    <w:rsid w:val="009618E3"/>
    <w:rsid w:val="00962300"/>
    <w:rsid w:val="00962C9A"/>
    <w:rsid w:val="009636DD"/>
    <w:rsid w:val="00964BD6"/>
    <w:rsid w:val="0096563C"/>
    <w:rsid w:val="00965F58"/>
    <w:rsid w:val="00966703"/>
    <w:rsid w:val="00966746"/>
    <w:rsid w:val="00966B44"/>
    <w:rsid w:val="0096737D"/>
    <w:rsid w:val="00967B5F"/>
    <w:rsid w:val="009702A1"/>
    <w:rsid w:val="00970535"/>
    <w:rsid w:val="0097090F"/>
    <w:rsid w:val="00971348"/>
    <w:rsid w:val="00971679"/>
    <w:rsid w:val="00971A07"/>
    <w:rsid w:val="0097228A"/>
    <w:rsid w:val="00972408"/>
    <w:rsid w:val="009726D6"/>
    <w:rsid w:val="0097271A"/>
    <w:rsid w:val="009738C9"/>
    <w:rsid w:val="009757B8"/>
    <w:rsid w:val="00976AFD"/>
    <w:rsid w:val="00976C38"/>
    <w:rsid w:val="009776B5"/>
    <w:rsid w:val="00977D45"/>
    <w:rsid w:val="00980063"/>
    <w:rsid w:val="009804C6"/>
    <w:rsid w:val="009805F4"/>
    <w:rsid w:val="00980B7C"/>
    <w:rsid w:val="009820C1"/>
    <w:rsid w:val="00982184"/>
    <w:rsid w:val="00982312"/>
    <w:rsid w:val="00982D24"/>
    <w:rsid w:val="0098330F"/>
    <w:rsid w:val="00983A57"/>
    <w:rsid w:val="00984E2B"/>
    <w:rsid w:val="0098537F"/>
    <w:rsid w:val="00985423"/>
    <w:rsid w:val="0098763A"/>
    <w:rsid w:val="00987708"/>
    <w:rsid w:val="009901B8"/>
    <w:rsid w:val="00990A2D"/>
    <w:rsid w:val="00991515"/>
    <w:rsid w:val="00992238"/>
    <w:rsid w:val="0099233D"/>
    <w:rsid w:val="009923EE"/>
    <w:rsid w:val="00994CF9"/>
    <w:rsid w:val="00995D46"/>
    <w:rsid w:val="00996F5A"/>
    <w:rsid w:val="00997121"/>
    <w:rsid w:val="00997C47"/>
    <w:rsid w:val="009A000D"/>
    <w:rsid w:val="009A03D6"/>
    <w:rsid w:val="009A0B01"/>
    <w:rsid w:val="009A19C0"/>
    <w:rsid w:val="009A2A66"/>
    <w:rsid w:val="009A2D26"/>
    <w:rsid w:val="009A2D7C"/>
    <w:rsid w:val="009A2DBC"/>
    <w:rsid w:val="009A2EE7"/>
    <w:rsid w:val="009A3E36"/>
    <w:rsid w:val="009A449B"/>
    <w:rsid w:val="009A486F"/>
    <w:rsid w:val="009A4C28"/>
    <w:rsid w:val="009A52AF"/>
    <w:rsid w:val="009A5CD8"/>
    <w:rsid w:val="009A67E4"/>
    <w:rsid w:val="009A6959"/>
    <w:rsid w:val="009A6B80"/>
    <w:rsid w:val="009A70C3"/>
    <w:rsid w:val="009A7C56"/>
    <w:rsid w:val="009A7D12"/>
    <w:rsid w:val="009B000E"/>
    <w:rsid w:val="009B0622"/>
    <w:rsid w:val="009B142F"/>
    <w:rsid w:val="009B250F"/>
    <w:rsid w:val="009B2624"/>
    <w:rsid w:val="009B3531"/>
    <w:rsid w:val="009B35DA"/>
    <w:rsid w:val="009B44CD"/>
    <w:rsid w:val="009B4842"/>
    <w:rsid w:val="009B5F73"/>
    <w:rsid w:val="009B5F9B"/>
    <w:rsid w:val="009B604B"/>
    <w:rsid w:val="009B6B7D"/>
    <w:rsid w:val="009B6BD0"/>
    <w:rsid w:val="009B6D8E"/>
    <w:rsid w:val="009B70BA"/>
    <w:rsid w:val="009B7191"/>
    <w:rsid w:val="009B71FD"/>
    <w:rsid w:val="009C098E"/>
    <w:rsid w:val="009C0AEF"/>
    <w:rsid w:val="009C0C24"/>
    <w:rsid w:val="009C1127"/>
    <w:rsid w:val="009C1516"/>
    <w:rsid w:val="009C1628"/>
    <w:rsid w:val="009C17F0"/>
    <w:rsid w:val="009C1BAD"/>
    <w:rsid w:val="009C206D"/>
    <w:rsid w:val="009C4081"/>
    <w:rsid w:val="009C44FE"/>
    <w:rsid w:val="009C598C"/>
    <w:rsid w:val="009C6437"/>
    <w:rsid w:val="009C652E"/>
    <w:rsid w:val="009C6B2A"/>
    <w:rsid w:val="009C6DBB"/>
    <w:rsid w:val="009C775F"/>
    <w:rsid w:val="009C792A"/>
    <w:rsid w:val="009D0017"/>
    <w:rsid w:val="009D094B"/>
    <w:rsid w:val="009D0E58"/>
    <w:rsid w:val="009D1D71"/>
    <w:rsid w:val="009D20B8"/>
    <w:rsid w:val="009D24ED"/>
    <w:rsid w:val="009D2A47"/>
    <w:rsid w:val="009D3140"/>
    <w:rsid w:val="009D3C6A"/>
    <w:rsid w:val="009D4D4F"/>
    <w:rsid w:val="009D51D9"/>
    <w:rsid w:val="009D58C6"/>
    <w:rsid w:val="009D62E8"/>
    <w:rsid w:val="009D73EB"/>
    <w:rsid w:val="009D7736"/>
    <w:rsid w:val="009D7842"/>
    <w:rsid w:val="009D7C4C"/>
    <w:rsid w:val="009E02A3"/>
    <w:rsid w:val="009E0894"/>
    <w:rsid w:val="009E094B"/>
    <w:rsid w:val="009E1797"/>
    <w:rsid w:val="009E20A0"/>
    <w:rsid w:val="009E26BA"/>
    <w:rsid w:val="009E2B93"/>
    <w:rsid w:val="009E2C32"/>
    <w:rsid w:val="009E3163"/>
    <w:rsid w:val="009E34D4"/>
    <w:rsid w:val="009E353D"/>
    <w:rsid w:val="009E3677"/>
    <w:rsid w:val="009E410F"/>
    <w:rsid w:val="009E5096"/>
    <w:rsid w:val="009E5B8F"/>
    <w:rsid w:val="009E624D"/>
    <w:rsid w:val="009E6281"/>
    <w:rsid w:val="009E671E"/>
    <w:rsid w:val="009E6B01"/>
    <w:rsid w:val="009E6CD7"/>
    <w:rsid w:val="009E7A65"/>
    <w:rsid w:val="009E7A98"/>
    <w:rsid w:val="009E7BEE"/>
    <w:rsid w:val="009E7D77"/>
    <w:rsid w:val="009F0631"/>
    <w:rsid w:val="009F0A6D"/>
    <w:rsid w:val="009F0BFA"/>
    <w:rsid w:val="009F0EBA"/>
    <w:rsid w:val="009F1683"/>
    <w:rsid w:val="009F23BB"/>
    <w:rsid w:val="009F243A"/>
    <w:rsid w:val="009F29EF"/>
    <w:rsid w:val="009F2A37"/>
    <w:rsid w:val="009F3550"/>
    <w:rsid w:val="009F369E"/>
    <w:rsid w:val="009F430A"/>
    <w:rsid w:val="009F481D"/>
    <w:rsid w:val="009F4999"/>
    <w:rsid w:val="009F5580"/>
    <w:rsid w:val="009F5D4C"/>
    <w:rsid w:val="009F5E65"/>
    <w:rsid w:val="009F690E"/>
    <w:rsid w:val="009F6D8F"/>
    <w:rsid w:val="00A00308"/>
    <w:rsid w:val="00A02E0C"/>
    <w:rsid w:val="00A03430"/>
    <w:rsid w:val="00A037E7"/>
    <w:rsid w:val="00A0423D"/>
    <w:rsid w:val="00A047E0"/>
    <w:rsid w:val="00A06F76"/>
    <w:rsid w:val="00A07871"/>
    <w:rsid w:val="00A10B10"/>
    <w:rsid w:val="00A10DC7"/>
    <w:rsid w:val="00A11CE4"/>
    <w:rsid w:val="00A128D4"/>
    <w:rsid w:val="00A132A2"/>
    <w:rsid w:val="00A133DD"/>
    <w:rsid w:val="00A14107"/>
    <w:rsid w:val="00A14600"/>
    <w:rsid w:val="00A14702"/>
    <w:rsid w:val="00A149E9"/>
    <w:rsid w:val="00A14A89"/>
    <w:rsid w:val="00A14F4A"/>
    <w:rsid w:val="00A1596B"/>
    <w:rsid w:val="00A15992"/>
    <w:rsid w:val="00A15C8C"/>
    <w:rsid w:val="00A171D7"/>
    <w:rsid w:val="00A17549"/>
    <w:rsid w:val="00A20987"/>
    <w:rsid w:val="00A20AE0"/>
    <w:rsid w:val="00A21B25"/>
    <w:rsid w:val="00A22193"/>
    <w:rsid w:val="00A22CE9"/>
    <w:rsid w:val="00A22D3D"/>
    <w:rsid w:val="00A23132"/>
    <w:rsid w:val="00A2332A"/>
    <w:rsid w:val="00A2358B"/>
    <w:rsid w:val="00A23891"/>
    <w:rsid w:val="00A23DAC"/>
    <w:rsid w:val="00A23E5D"/>
    <w:rsid w:val="00A24432"/>
    <w:rsid w:val="00A25406"/>
    <w:rsid w:val="00A25928"/>
    <w:rsid w:val="00A26082"/>
    <w:rsid w:val="00A265AC"/>
    <w:rsid w:val="00A26698"/>
    <w:rsid w:val="00A27130"/>
    <w:rsid w:val="00A27319"/>
    <w:rsid w:val="00A27532"/>
    <w:rsid w:val="00A2797A"/>
    <w:rsid w:val="00A31160"/>
    <w:rsid w:val="00A31731"/>
    <w:rsid w:val="00A31CB8"/>
    <w:rsid w:val="00A32225"/>
    <w:rsid w:val="00A33128"/>
    <w:rsid w:val="00A33773"/>
    <w:rsid w:val="00A34120"/>
    <w:rsid w:val="00A34B18"/>
    <w:rsid w:val="00A35E88"/>
    <w:rsid w:val="00A35EF4"/>
    <w:rsid w:val="00A3692F"/>
    <w:rsid w:val="00A37FBD"/>
    <w:rsid w:val="00A40BB9"/>
    <w:rsid w:val="00A40DBC"/>
    <w:rsid w:val="00A41011"/>
    <w:rsid w:val="00A4363D"/>
    <w:rsid w:val="00A437C4"/>
    <w:rsid w:val="00A43810"/>
    <w:rsid w:val="00A43840"/>
    <w:rsid w:val="00A43846"/>
    <w:rsid w:val="00A43DC9"/>
    <w:rsid w:val="00A44201"/>
    <w:rsid w:val="00A44434"/>
    <w:rsid w:val="00A449F5"/>
    <w:rsid w:val="00A44E84"/>
    <w:rsid w:val="00A453C1"/>
    <w:rsid w:val="00A4567C"/>
    <w:rsid w:val="00A45988"/>
    <w:rsid w:val="00A45B42"/>
    <w:rsid w:val="00A472A3"/>
    <w:rsid w:val="00A47C78"/>
    <w:rsid w:val="00A47EA6"/>
    <w:rsid w:val="00A50315"/>
    <w:rsid w:val="00A50BCF"/>
    <w:rsid w:val="00A50D08"/>
    <w:rsid w:val="00A50FB9"/>
    <w:rsid w:val="00A51309"/>
    <w:rsid w:val="00A51D2D"/>
    <w:rsid w:val="00A51FEE"/>
    <w:rsid w:val="00A52539"/>
    <w:rsid w:val="00A525B9"/>
    <w:rsid w:val="00A52A72"/>
    <w:rsid w:val="00A53B2B"/>
    <w:rsid w:val="00A54BB7"/>
    <w:rsid w:val="00A555A0"/>
    <w:rsid w:val="00A558F1"/>
    <w:rsid w:val="00A56A11"/>
    <w:rsid w:val="00A570A5"/>
    <w:rsid w:val="00A574BC"/>
    <w:rsid w:val="00A57DA5"/>
    <w:rsid w:val="00A60228"/>
    <w:rsid w:val="00A611A7"/>
    <w:rsid w:val="00A627EA"/>
    <w:rsid w:val="00A62A2E"/>
    <w:rsid w:val="00A62AE8"/>
    <w:rsid w:val="00A63836"/>
    <w:rsid w:val="00A6487A"/>
    <w:rsid w:val="00A64E12"/>
    <w:rsid w:val="00A64EF8"/>
    <w:rsid w:val="00A65C8D"/>
    <w:rsid w:val="00A65D74"/>
    <w:rsid w:val="00A664E9"/>
    <w:rsid w:val="00A67D37"/>
    <w:rsid w:val="00A67D67"/>
    <w:rsid w:val="00A701E2"/>
    <w:rsid w:val="00A7103C"/>
    <w:rsid w:val="00A7107A"/>
    <w:rsid w:val="00A71536"/>
    <w:rsid w:val="00A71C39"/>
    <w:rsid w:val="00A71F22"/>
    <w:rsid w:val="00A73460"/>
    <w:rsid w:val="00A7346B"/>
    <w:rsid w:val="00A74182"/>
    <w:rsid w:val="00A74322"/>
    <w:rsid w:val="00A7471E"/>
    <w:rsid w:val="00A74AB7"/>
    <w:rsid w:val="00A750B3"/>
    <w:rsid w:val="00A75227"/>
    <w:rsid w:val="00A75A07"/>
    <w:rsid w:val="00A75DA0"/>
    <w:rsid w:val="00A761F9"/>
    <w:rsid w:val="00A76B96"/>
    <w:rsid w:val="00A7703E"/>
    <w:rsid w:val="00A77261"/>
    <w:rsid w:val="00A777C5"/>
    <w:rsid w:val="00A77BE9"/>
    <w:rsid w:val="00A803D9"/>
    <w:rsid w:val="00A80733"/>
    <w:rsid w:val="00A8097E"/>
    <w:rsid w:val="00A81F8A"/>
    <w:rsid w:val="00A8221A"/>
    <w:rsid w:val="00A82884"/>
    <w:rsid w:val="00A82F83"/>
    <w:rsid w:val="00A835D6"/>
    <w:rsid w:val="00A83983"/>
    <w:rsid w:val="00A847A7"/>
    <w:rsid w:val="00A84B56"/>
    <w:rsid w:val="00A84F90"/>
    <w:rsid w:val="00A85060"/>
    <w:rsid w:val="00A85ACF"/>
    <w:rsid w:val="00A85AFC"/>
    <w:rsid w:val="00A85D1B"/>
    <w:rsid w:val="00A86391"/>
    <w:rsid w:val="00A86CAD"/>
    <w:rsid w:val="00A87EB5"/>
    <w:rsid w:val="00A87FF3"/>
    <w:rsid w:val="00A90294"/>
    <w:rsid w:val="00A91C8E"/>
    <w:rsid w:val="00A91D8C"/>
    <w:rsid w:val="00A926F6"/>
    <w:rsid w:val="00A9280D"/>
    <w:rsid w:val="00A93277"/>
    <w:rsid w:val="00A946F8"/>
    <w:rsid w:val="00A952BE"/>
    <w:rsid w:val="00A95446"/>
    <w:rsid w:val="00A954B1"/>
    <w:rsid w:val="00A95F86"/>
    <w:rsid w:val="00A97230"/>
    <w:rsid w:val="00A9751A"/>
    <w:rsid w:val="00A97AAE"/>
    <w:rsid w:val="00A97D1D"/>
    <w:rsid w:val="00A97F42"/>
    <w:rsid w:val="00AA06DE"/>
    <w:rsid w:val="00AA081C"/>
    <w:rsid w:val="00AA1A8C"/>
    <w:rsid w:val="00AA20DB"/>
    <w:rsid w:val="00AA2259"/>
    <w:rsid w:val="00AA421A"/>
    <w:rsid w:val="00AA4823"/>
    <w:rsid w:val="00AA4CFC"/>
    <w:rsid w:val="00AA6001"/>
    <w:rsid w:val="00AA63AA"/>
    <w:rsid w:val="00AA6949"/>
    <w:rsid w:val="00AA69E6"/>
    <w:rsid w:val="00AA72FB"/>
    <w:rsid w:val="00AA7EDA"/>
    <w:rsid w:val="00AB02CF"/>
    <w:rsid w:val="00AB05DB"/>
    <w:rsid w:val="00AB220A"/>
    <w:rsid w:val="00AB37F1"/>
    <w:rsid w:val="00AB3AA1"/>
    <w:rsid w:val="00AB3D1F"/>
    <w:rsid w:val="00AB46E1"/>
    <w:rsid w:val="00AB4A6D"/>
    <w:rsid w:val="00AB5F39"/>
    <w:rsid w:val="00AB63FD"/>
    <w:rsid w:val="00AB6E4D"/>
    <w:rsid w:val="00AB70C9"/>
    <w:rsid w:val="00AB7B0D"/>
    <w:rsid w:val="00AC05FD"/>
    <w:rsid w:val="00AC0A97"/>
    <w:rsid w:val="00AC26CB"/>
    <w:rsid w:val="00AC2BFD"/>
    <w:rsid w:val="00AC2E5B"/>
    <w:rsid w:val="00AC354F"/>
    <w:rsid w:val="00AC36A9"/>
    <w:rsid w:val="00AC3704"/>
    <w:rsid w:val="00AC3A73"/>
    <w:rsid w:val="00AC3AA9"/>
    <w:rsid w:val="00AC3F25"/>
    <w:rsid w:val="00AC44CB"/>
    <w:rsid w:val="00AC4644"/>
    <w:rsid w:val="00AC4B42"/>
    <w:rsid w:val="00AC4D10"/>
    <w:rsid w:val="00AC4D5F"/>
    <w:rsid w:val="00AC5ACB"/>
    <w:rsid w:val="00AC5B0B"/>
    <w:rsid w:val="00AC65AB"/>
    <w:rsid w:val="00AC69C8"/>
    <w:rsid w:val="00AC6BDD"/>
    <w:rsid w:val="00AC6C96"/>
    <w:rsid w:val="00AC72EC"/>
    <w:rsid w:val="00AC743A"/>
    <w:rsid w:val="00AC748F"/>
    <w:rsid w:val="00AD0DE7"/>
    <w:rsid w:val="00AD19A1"/>
    <w:rsid w:val="00AD19A6"/>
    <w:rsid w:val="00AD344B"/>
    <w:rsid w:val="00AD41B0"/>
    <w:rsid w:val="00AD46CA"/>
    <w:rsid w:val="00AD494B"/>
    <w:rsid w:val="00AD51A5"/>
    <w:rsid w:val="00AD5593"/>
    <w:rsid w:val="00AD5F52"/>
    <w:rsid w:val="00AD5F66"/>
    <w:rsid w:val="00AD6C87"/>
    <w:rsid w:val="00AD7089"/>
    <w:rsid w:val="00AD72C6"/>
    <w:rsid w:val="00AD7398"/>
    <w:rsid w:val="00AE0158"/>
    <w:rsid w:val="00AE3488"/>
    <w:rsid w:val="00AE395C"/>
    <w:rsid w:val="00AE44CC"/>
    <w:rsid w:val="00AE4A8E"/>
    <w:rsid w:val="00AE4D61"/>
    <w:rsid w:val="00AE4D64"/>
    <w:rsid w:val="00AE4DBC"/>
    <w:rsid w:val="00AE5742"/>
    <w:rsid w:val="00AE5851"/>
    <w:rsid w:val="00AE62D8"/>
    <w:rsid w:val="00AE65F9"/>
    <w:rsid w:val="00AE6750"/>
    <w:rsid w:val="00AE68AB"/>
    <w:rsid w:val="00AE6F86"/>
    <w:rsid w:val="00AE6FDB"/>
    <w:rsid w:val="00AE70F9"/>
    <w:rsid w:val="00AE7502"/>
    <w:rsid w:val="00AE79F2"/>
    <w:rsid w:val="00AE7A95"/>
    <w:rsid w:val="00AE7C4C"/>
    <w:rsid w:val="00AE7E8C"/>
    <w:rsid w:val="00AF00A9"/>
    <w:rsid w:val="00AF010A"/>
    <w:rsid w:val="00AF0935"/>
    <w:rsid w:val="00AF1F1F"/>
    <w:rsid w:val="00AF25CF"/>
    <w:rsid w:val="00AF2A57"/>
    <w:rsid w:val="00AF2A8B"/>
    <w:rsid w:val="00AF2BB3"/>
    <w:rsid w:val="00AF2E5D"/>
    <w:rsid w:val="00AF34B2"/>
    <w:rsid w:val="00AF393F"/>
    <w:rsid w:val="00AF3BF3"/>
    <w:rsid w:val="00AF41D7"/>
    <w:rsid w:val="00AF44CD"/>
    <w:rsid w:val="00AF44DB"/>
    <w:rsid w:val="00AF4B9E"/>
    <w:rsid w:val="00AF4E7D"/>
    <w:rsid w:val="00AF542A"/>
    <w:rsid w:val="00AF5522"/>
    <w:rsid w:val="00AF5AD1"/>
    <w:rsid w:val="00AF5B0D"/>
    <w:rsid w:val="00AF72D6"/>
    <w:rsid w:val="00AF74FA"/>
    <w:rsid w:val="00AF79A0"/>
    <w:rsid w:val="00AF7BF8"/>
    <w:rsid w:val="00B00418"/>
    <w:rsid w:val="00B0052B"/>
    <w:rsid w:val="00B00646"/>
    <w:rsid w:val="00B00681"/>
    <w:rsid w:val="00B00732"/>
    <w:rsid w:val="00B00DFD"/>
    <w:rsid w:val="00B00FF9"/>
    <w:rsid w:val="00B01870"/>
    <w:rsid w:val="00B01889"/>
    <w:rsid w:val="00B01B54"/>
    <w:rsid w:val="00B01E93"/>
    <w:rsid w:val="00B01F47"/>
    <w:rsid w:val="00B02EA9"/>
    <w:rsid w:val="00B031A9"/>
    <w:rsid w:val="00B03328"/>
    <w:rsid w:val="00B03689"/>
    <w:rsid w:val="00B03841"/>
    <w:rsid w:val="00B0428E"/>
    <w:rsid w:val="00B04872"/>
    <w:rsid w:val="00B0513C"/>
    <w:rsid w:val="00B0528D"/>
    <w:rsid w:val="00B053AC"/>
    <w:rsid w:val="00B060B4"/>
    <w:rsid w:val="00B06193"/>
    <w:rsid w:val="00B0625C"/>
    <w:rsid w:val="00B06FA6"/>
    <w:rsid w:val="00B072D3"/>
    <w:rsid w:val="00B0740D"/>
    <w:rsid w:val="00B07B10"/>
    <w:rsid w:val="00B1118C"/>
    <w:rsid w:val="00B11202"/>
    <w:rsid w:val="00B11711"/>
    <w:rsid w:val="00B11896"/>
    <w:rsid w:val="00B11B61"/>
    <w:rsid w:val="00B11B8F"/>
    <w:rsid w:val="00B13FA5"/>
    <w:rsid w:val="00B14A1A"/>
    <w:rsid w:val="00B14D4B"/>
    <w:rsid w:val="00B15172"/>
    <w:rsid w:val="00B15194"/>
    <w:rsid w:val="00B1549E"/>
    <w:rsid w:val="00B15598"/>
    <w:rsid w:val="00B15BFD"/>
    <w:rsid w:val="00B160B8"/>
    <w:rsid w:val="00B165B3"/>
    <w:rsid w:val="00B17423"/>
    <w:rsid w:val="00B17603"/>
    <w:rsid w:val="00B1783E"/>
    <w:rsid w:val="00B20986"/>
    <w:rsid w:val="00B21179"/>
    <w:rsid w:val="00B2126E"/>
    <w:rsid w:val="00B220DE"/>
    <w:rsid w:val="00B224E2"/>
    <w:rsid w:val="00B22913"/>
    <w:rsid w:val="00B22F5C"/>
    <w:rsid w:val="00B237EF"/>
    <w:rsid w:val="00B24C56"/>
    <w:rsid w:val="00B25761"/>
    <w:rsid w:val="00B26E43"/>
    <w:rsid w:val="00B26ED3"/>
    <w:rsid w:val="00B26F13"/>
    <w:rsid w:val="00B26F43"/>
    <w:rsid w:val="00B3165A"/>
    <w:rsid w:val="00B31EF1"/>
    <w:rsid w:val="00B321D9"/>
    <w:rsid w:val="00B329E8"/>
    <w:rsid w:val="00B33232"/>
    <w:rsid w:val="00B3394A"/>
    <w:rsid w:val="00B33E18"/>
    <w:rsid w:val="00B34369"/>
    <w:rsid w:val="00B352AA"/>
    <w:rsid w:val="00B35864"/>
    <w:rsid w:val="00B35EEC"/>
    <w:rsid w:val="00B37BF1"/>
    <w:rsid w:val="00B4044A"/>
    <w:rsid w:val="00B40496"/>
    <w:rsid w:val="00B40BD8"/>
    <w:rsid w:val="00B40E41"/>
    <w:rsid w:val="00B41103"/>
    <w:rsid w:val="00B412A2"/>
    <w:rsid w:val="00B419AD"/>
    <w:rsid w:val="00B42A51"/>
    <w:rsid w:val="00B42CCA"/>
    <w:rsid w:val="00B4303E"/>
    <w:rsid w:val="00B437F2"/>
    <w:rsid w:val="00B43E18"/>
    <w:rsid w:val="00B44085"/>
    <w:rsid w:val="00B45EC2"/>
    <w:rsid w:val="00B463E6"/>
    <w:rsid w:val="00B4730E"/>
    <w:rsid w:val="00B47A7E"/>
    <w:rsid w:val="00B47BB1"/>
    <w:rsid w:val="00B50208"/>
    <w:rsid w:val="00B507A2"/>
    <w:rsid w:val="00B507D1"/>
    <w:rsid w:val="00B50867"/>
    <w:rsid w:val="00B50EF0"/>
    <w:rsid w:val="00B5120F"/>
    <w:rsid w:val="00B516BC"/>
    <w:rsid w:val="00B51732"/>
    <w:rsid w:val="00B517E2"/>
    <w:rsid w:val="00B51D18"/>
    <w:rsid w:val="00B51EC3"/>
    <w:rsid w:val="00B5248B"/>
    <w:rsid w:val="00B52DE3"/>
    <w:rsid w:val="00B535E4"/>
    <w:rsid w:val="00B542BA"/>
    <w:rsid w:val="00B545A5"/>
    <w:rsid w:val="00B54CB1"/>
    <w:rsid w:val="00B54E74"/>
    <w:rsid w:val="00B558A3"/>
    <w:rsid w:val="00B55CB4"/>
    <w:rsid w:val="00B55F01"/>
    <w:rsid w:val="00B562FA"/>
    <w:rsid w:val="00B57882"/>
    <w:rsid w:val="00B623FC"/>
    <w:rsid w:val="00B63137"/>
    <w:rsid w:val="00B631A0"/>
    <w:rsid w:val="00B63A61"/>
    <w:rsid w:val="00B6508E"/>
    <w:rsid w:val="00B6579F"/>
    <w:rsid w:val="00B660CD"/>
    <w:rsid w:val="00B6623D"/>
    <w:rsid w:val="00B6683A"/>
    <w:rsid w:val="00B66BB1"/>
    <w:rsid w:val="00B66BE3"/>
    <w:rsid w:val="00B673AC"/>
    <w:rsid w:val="00B67BAA"/>
    <w:rsid w:val="00B67C36"/>
    <w:rsid w:val="00B67D92"/>
    <w:rsid w:val="00B704F8"/>
    <w:rsid w:val="00B70D8B"/>
    <w:rsid w:val="00B71566"/>
    <w:rsid w:val="00B71BE3"/>
    <w:rsid w:val="00B71D1E"/>
    <w:rsid w:val="00B727DE"/>
    <w:rsid w:val="00B72CF7"/>
    <w:rsid w:val="00B7310A"/>
    <w:rsid w:val="00B73C15"/>
    <w:rsid w:val="00B74054"/>
    <w:rsid w:val="00B745B4"/>
    <w:rsid w:val="00B747A4"/>
    <w:rsid w:val="00B74CF3"/>
    <w:rsid w:val="00B755BA"/>
    <w:rsid w:val="00B75CE1"/>
    <w:rsid w:val="00B75CFF"/>
    <w:rsid w:val="00B7652F"/>
    <w:rsid w:val="00B76A53"/>
    <w:rsid w:val="00B76BB6"/>
    <w:rsid w:val="00B76F31"/>
    <w:rsid w:val="00B772FA"/>
    <w:rsid w:val="00B80CF3"/>
    <w:rsid w:val="00B80D00"/>
    <w:rsid w:val="00B80DA1"/>
    <w:rsid w:val="00B81275"/>
    <w:rsid w:val="00B81664"/>
    <w:rsid w:val="00B81D8B"/>
    <w:rsid w:val="00B82C21"/>
    <w:rsid w:val="00B8307D"/>
    <w:rsid w:val="00B83377"/>
    <w:rsid w:val="00B833BD"/>
    <w:rsid w:val="00B84AE0"/>
    <w:rsid w:val="00B84CC9"/>
    <w:rsid w:val="00B84D67"/>
    <w:rsid w:val="00B853B5"/>
    <w:rsid w:val="00B868E5"/>
    <w:rsid w:val="00B87A48"/>
    <w:rsid w:val="00B92F67"/>
    <w:rsid w:val="00B93245"/>
    <w:rsid w:val="00B9340A"/>
    <w:rsid w:val="00B94661"/>
    <w:rsid w:val="00B949A8"/>
    <w:rsid w:val="00B964DB"/>
    <w:rsid w:val="00B96783"/>
    <w:rsid w:val="00B975C0"/>
    <w:rsid w:val="00B97F9B"/>
    <w:rsid w:val="00BA0FC0"/>
    <w:rsid w:val="00BA1C5E"/>
    <w:rsid w:val="00BA2659"/>
    <w:rsid w:val="00BA2F71"/>
    <w:rsid w:val="00BA37A0"/>
    <w:rsid w:val="00BA3B2F"/>
    <w:rsid w:val="00BA3FBD"/>
    <w:rsid w:val="00BA4164"/>
    <w:rsid w:val="00BA43A9"/>
    <w:rsid w:val="00BA4588"/>
    <w:rsid w:val="00BA48F2"/>
    <w:rsid w:val="00BA5280"/>
    <w:rsid w:val="00BA5501"/>
    <w:rsid w:val="00BA5CE6"/>
    <w:rsid w:val="00BA6257"/>
    <w:rsid w:val="00BA6875"/>
    <w:rsid w:val="00BA6920"/>
    <w:rsid w:val="00BA69DE"/>
    <w:rsid w:val="00BA70F5"/>
    <w:rsid w:val="00BA78F0"/>
    <w:rsid w:val="00BB01F0"/>
    <w:rsid w:val="00BB06B8"/>
    <w:rsid w:val="00BB0B6C"/>
    <w:rsid w:val="00BB0D7B"/>
    <w:rsid w:val="00BB0E5D"/>
    <w:rsid w:val="00BB0FB9"/>
    <w:rsid w:val="00BB12B2"/>
    <w:rsid w:val="00BB165D"/>
    <w:rsid w:val="00BB1AD9"/>
    <w:rsid w:val="00BB2E21"/>
    <w:rsid w:val="00BB333F"/>
    <w:rsid w:val="00BB380C"/>
    <w:rsid w:val="00BB3BA8"/>
    <w:rsid w:val="00BB5C89"/>
    <w:rsid w:val="00BB5FD7"/>
    <w:rsid w:val="00BB620D"/>
    <w:rsid w:val="00BB70BF"/>
    <w:rsid w:val="00BB750E"/>
    <w:rsid w:val="00BB7E7C"/>
    <w:rsid w:val="00BC0C7D"/>
    <w:rsid w:val="00BC0EBD"/>
    <w:rsid w:val="00BC12D3"/>
    <w:rsid w:val="00BC1593"/>
    <w:rsid w:val="00BC193E"/>
    <w:rsid w:val="00BC1BB4"/>
    <w:rsid w:val="00BC1CF9"/>
    <w:rsid w:val="00BC2718"/>
    <w:rsid w:val="00BC36CD"/>
    <w:rsid w:val="00BC3F8C"/>
    <w:rsid w:val="00BC441E"/>
    <w:rsid w:val="00BC48B3"/>
    <w:rsid w:val="00BC56C3"/>
    <w:rsid w:val="00BC6020"/>
    <w:rsid w:val="00BC6031"/>
    <w:rsid w:val="00BC607E"/>
    <w:rsid w:val="00BC6221"/>
    <w:rsid w:val="00BC6AEE"/>
    <w:rsid w:val="00BC76FE"/>
    <w:rsid w:val="00BD1717"/>
    <w:rsid w:val="00BD19E5"/>
    <w:rsid w:val="00BD19FE"/>
    <w:rsid w:val="00BD2462"/>
    <w:rsid w:val="00BD24C3"/>
    <w:rsid w:val="00BD290F"/>
    <w:rsid w:val="00BD4001"/>
    <w:rsid w:val="00BD4521"/>
    <w:rsid w:val="00BD4820"/>
    <w:rsid w:val="00BD4A26"/>
    <w:rsid w:val="00BD5202"/>
    <w:rsid w:val="00BD527B"/>
    <w:rsid w:val="00BD5CEC"/>
    <w:rsid w:val="00BD722F"/>
    <w:rsid w:val="00BD7582"/>
    <w:rsid w:val="00BD7C1D"/>
    <w:rsid w:val="00BD7C56"/>
    <w:rsid w:val="00BE056F"/>
    <w:rsid w:val="00BE09B9"/>
    <w:rsid w:val="00BE11D4"/>
    <w:rsid w:val="00BE2298"/>
    <w:rsid w:val="00BE2CB7"/>
    <w:rsid w:val="00BE3414"/>
    <w:rsid w:val="00BE4963"/>
    <w:rsid w:val="00BE4AAC"/>
    <w:rsid w:val="00BE5337"/>
    <w:rsid w:val="00BE56FC"/>
    <w:rsid w:val="00BE6354"/>
    <w:rsid w:val="00BE6E6F"/>
    <w:rsid w:val="00BE764E"/>
    <w:rsid w:val="00BE7FD3"/>
    <w:rsid w:val="00BF0EDB"/>
    <w:rsid w:val="00BF3C14"/>
    <w:rsid w:val="00BF3D48"/>
    <w:rsid w:val="00BF3EFA"/>
    <w:rsid w:val="00BF40BB"/>
    <w:rsid w:val="00BF41FC"/>
    <w:rsid w:val="00BF4E98"/>
    <w:rsid w:val="00BF54F6"/>
    <w:rsid w:val="00BF5DC6"/>
    <w:rsid w:val="00BF6550"/>
    <w:rsid w:val="00BF673B"/>
    <w:rsid w:val="00BF6CDB"/>
    <w:rsid w:val="00BF7891"/>
    <w:rsid w:val="00BF7EC9"/>
    <w:rsid w:val="00C00559"/>
    <w:rsid w:val="00C00646"/>
    <w:rsid w:val="00C00816"/>
    <w:rsid w:val="00C00A6F"/>
    <w:rsid w:val="00C00FFB"/>
    <w:rsid w:val="00C01112"/>
    <w:rsid w:val="00C015F0"/>
    <w:rsid w:val="00C01895"/>
    <w:rsid w:val="00C03894"/>
    <w:rsid w:val="00C03A83"/>
    <w:rsid w:val="00C040AF"/>
    <w:rsid w:val="00C04297"/>
    <w:rsid w:val="00C04443"/>
    <w:rsid w:val="00C048FF"/>
    <w:rsid w:val="00C04F4E"/>
    <w:rsid w:val="00C050C4"/>
    <w:rsid w:val="00C056B0"/>
    <w:rsid w:val="00C05E94"/>
    <w:rsid w:val="00C0656D"/>
    <w:rsid w:val="00C06E64"/>
    <w:rsid w:val="00C07139"/>
    <w:rsid w:val="00C07779"/>
    <w:rsid w:val="00C10D57"/>
    <w:rsid w:val="00C11075"/>
    <w:rsid w:val="00C117ED"/>
    <w:rsid w:val="00C11CCF"/>
    <w:rsid w:val="00C11E31"/>
    <w:rsid w:val="00C12402"/>
    <w:rsid w:val="00C12579"/>
    <w:rsid w:val="00C12BAC"/>
    <w:rsid w:val="00C130B1"/>
    <w:rsid w:val="00C1399C"/>
    <w:rsid w:val="00C140F8"/>
    <w:rsid w:val="00C14153"/>
    <w:rsid w:val="00C157A3"/>
    <w:rsid w:val="00C1587E"/>
    <w:rsid w:val="00C15B5F"/>
    <w:rsid w:val="00C16293"/>
    <w:rsid w:val="00C17E7C"/>
    <w:rsid w:val="00C20A1A"/>
    <w:rsid w:val="00C212B7"/>
    <w:rsid w:val="00C21449"/>
    <w:rsid w:val="00C222EF"/>
    <w:rsid w:val="00C22603"/>
    <w:rsid w:val="00C2321A"/>
    <w:rsid w:val="00C23336"/>
    <w:rsid w:val="00C23B03"/>
    <w:rsid w:val="00C23E74"/>
    <w:rsid w:val="00C24D62"/>
    <w:rsid w:val="00C26F38"/>
    <w:rsid w:val="00C274AD"/>
    <w:rsid w:val="00C27FED"/>
    <w:rsid w:val="00C30002"/>
    <w:rsid w:val="00C30C63"/>
    <w:rsid w:val="00C30DBE"/>
    <w:rsid w:val="00C316E6"/>
    <w:rsid w:val="00C321B1"/>
    <w:rsid w:val="00C3277B"/>
    <w:rsid w:val="00C33A19"/>
    <w:rsid w:val="00C33CD5"/>
    <w:rsid w:val="00C349E8"/>
    <w:rsid w:val="00C353D7"/>
    <w:rsid w:val="00C35635"/>
    <w:rsid w:val="00C36A13"/>
    <w:rsid w:val="00C36DC2"/>
    <w:rsid w:val="00C36E8D"/>
    <w:rsid w:val="00C375BC"/>
    <w:rsid w:val="00C37BC1"/>
    <w:rsid w:val="00C40634"/>
    <w:rsid w:val="00C40855"/>
    <w:rsid w:val="00C40B39"/>
    <w:rsid w:val="00C40D88"/>
    <w:rsid w:val="00C40F41"/>
    <w:rsid w:val="00C410FA"/>
    <w:rsid w:val="00C41419"/>
    <w:rsid w:val="00C41C68"/>
    <w:rsid w:val="00C4228E"/>
    <w:rsid w:val="00C43344"/>
    <w:rsid w:val="00C4344C"/>
    <w:rsid w:val="00C4426F"/>
    <w:rsid w:val="00C44447"/>
    <w:rsid w:val="00C4454C"/>
    <w:rsid w:val="00C45657"/>
    <w:rsid w:val="00C45809"/>
    <w:rsid w:val="00C4694C"/>
    <w:rsid w:val="00C469DB"/>
    <w:rsid w:val="00C50820"/>
    <w:rsid w:val="00C50EB0"/>
    <w:rsid w:val="00C51352"/>
    <w:rsid w:val="00C51F46"/>
    <w:rsid w:val="00C52F2C"/>
    <w:rsid w:val="00C531B4"/>
    <w:rsid w:val="00C53EB5"/>
    <w:rsid w:val="00C5445C"/>
    <w:rsid w:val="00C54D28"/>
    <w:rsid w:val="00C54FF2"/>
    <w:rsid w:val="00C55407"/>
    <w:rsid w:val="00C56A1D"/>
    <w:rsid w:val="00C60012"/>
    <w:rsid w:val="00C60201"/>
    <w:rsid w:val="00C6037D"/>
    <w:rsid w:val="00C60935"/>
    <w:rsid w:val="00C60E0C"/>
    <w:rsid w:val="00C610DB"/>
    <w:rsid w:val="00C61329"/>
    <w:rsid w:val="00C62527"/>
    <w:rsid w:val="00C62A9C"/>
    <w:rsid w:val="00C6306D"/>
    <w:rsid w:val="00C63394"/>
    <w:rsid w:val="00C6381B"/>
    <w:rsid w:val="00C63B20"/>
    <w:rsid w:val="00C63E7E"/>
    <w:rsid w:val="00C64016"/>
    <w:rsid w:val="00C642B3"/>
    <w:rsid w:val="00C6455D"/>
    <w:rsid w:val="00C655D6"/>
    <w:rsid w:val="00C66746"/>
    <w:rsid w:val="00C66995"/>
    <w:rsid w:val="00C66A05"/>
    <w:rsid w:val="00C67105"/>
    <w:rsid w:val="00C675DE"/>
    <w:rsid w:val="00C706A6"/>
    <w:rsid w:val="00C71530"/>
    <w:rsid w:val="00C736AF"/>
    <w:rsid w:val="00C736E5"/>
    <w:rsid w:val="00C739B3"/>
    <w:rsid w:val="00C73C58"/>
    <w:rsid w:val="00C73CB6"/>
    <w:rsid w:val="00C73E29"/>
    <w:rsid w:val="00C741A3"/>
    <w:rsid w:val="00C744AF"/>
    <w:rsid w:val="00C75D0A"/>
    <w:rsid w:val="00C7601C"/>
    <w:rsid w:val="00C7629B"/>
    <w:rsid w:val="00C76A92"/>
    <w:rsid w:val="00C76C28"/>
    <w:rsid w:val="00C76F0B"/>
    <w:rsid w:val="00C77968"/>
    <w:rsid w:val="00C80D57"/>
    <w:rsid w:val="00C815CB"/>
    <w:rsid w:val="00C817B4"/>
    <w:rsid w:val="00C8241B"/>
    <w:rsid w:val="00C825A5"/>
    <w:rsid w:val="00C82BE8"/>
    <w:rsid w:val="00C82DE2"/>
    <w:rsid w:val="00C83A5F"/>
    <w:rsid w:val="00C83D7F"/>
    <w:rsid w:val="00C846BB"/>
    <w:rsid w:val="00C84CF4"/>
    <w:rsid w:val="00C84D90"/>
    <w:rsid w:val="00C85402"/>
    <w:rsid w:val="00C854D3"/>
    <w:rsid w:val="00C85B24"/>
    <w:rsid w:val="00C86C72"/>
    <w:rsid w:val="00C86D75"/>
    <w:rsid w:val="00C87843"/>
    <w:rsid w:val="00C8791A"/>
    <w:rsid w:val="00C90022"/>
    <w:rsid w:val="00C904E4"/>
    <w:rsid w:val="00C90577"/>
    <w:rsid w:val="00C909B4"/>
    <w:rsid w:val="00C90BF3"/>
    <w:rsid w:val="00C90EA7"/>
    <w:rsid w:val="00C91ACE"/>
    <w:rsid w:val="00C91D05"/>
    <w:rsid w:val="00C92982"/>
    <w:rsid w:val="00C92A5C"/>
    <w:rsid w:val="00C92D8B"/>
    <w:rsid w:val="00C92ED1"/>
    <w:rsid w:val="00C935E9"/>
    <w:rsid w:val="00C94331"/>
    <w:rsid w:val="00C94439"/>
    <w:rsid w:val="00C94C45"/>
    <w:rsid w:val="00C94EB4"/>
    <w:rsid w:val="00C950B1"/>
    <w:rsid w:val="00C95331"/>
    <w:rsid w:val="00C957CA"/>
    <w:rsid w:val="00C95B14"/>
    <w:rsid w:val="00C95DC1"/>
    <w:rsid w:val="00C961E4"/>
    <w:rsid w:val="00C962E5"/>
    <w:rsid w:val="00C96B48"/>
    <w:rsid w:val="00C97203"/>
    <w:rsid w:val="00C974B4"/>
    <w:rsid w:val="00CA216D"/>
    <w:rsid w:val="00CA30E2"/>
    <w:rsid w:val="00CA3456"/>
    <w:rsid w:val="00CA34A6"/>
    <w:rsid w:val="00CA3D3D"/>
    <w:rsid w:val="00CA4332"/>
    <w:rsid w:val="00CA51AA"/>
    <w:rsid w:val="00CA59C9"/>
    <w:rsid w:val="00CA5B24"/>
    <w:rsid w:val="00CA5D9C"/>
    <w:rsid w:val="00CA78A6"/>
    <w:rsid w:val="00CA7BA6"/>
    <w:rsid w:val="00CA7FAE"/>
    <w:rsid w:val="00CB009E"/>
    <w:rsid w:val="00CB0185"/>
    <w:rsid w:val="00CB07B2"/>
    <w:rsid w:val="00CB0EAD"/>
    <w:rsid w:val="00CB167E"/>
    <w:rsid w:val="00CB1A89"/>
    <w:rsid w:val="00CB24F2"/>
    <w:rsid w:val="00CB3145"/>
    <w:rsid w:val="00CB3B90"/>
    <w:rsid w:val="00CB4B2C"/>
    <w:rsid w:val="00CB4ED2"/>
    <w:rsid w:val="00CB4F7F"/>
    <w:rsid w:val="00CB540A"/>
    <w:rsid w:val="00CB587F"/>
    <w:rsid w:val="00CB6C09"/>
    <w:rsid w:val="00CB6CE9"/>
    <w:rsid w:val="00CB7296"/>
    <w:rsid w:val="00CB76CA"/>
    <w:rsid w:val="00CB7F68"/>
    <w:rsid w:val="00CC0A1C"/>
    <w:rsid w:val="00CC0E1C"/>
    <w:rsid w:val="00CC1488"/>
    <w:rsid w:val="00CC17CE"/>
    <w:rsid w:val="00CC1C90"/>
    <w:rsid w:val="00CC2675"/>
    <w:rsid w:val="00CC295D"/>
    <w:rsid w:val="00CC388F"/>
    <w:rsid w:val="00CC3D57"/>
    <w:rsid w:val="00CC4DB9"/>
    <w:rsid w:val="00CC4F4B"/>
    <w:rsid w:val="00CC50BD"/>
    <w:rsid w:val="00CC51D3"/>
    <w:rsid w:val="00CC549B"/>
    <w:rsid w:val="00CC5E68"/>
    <w:rsid w:val="00CC62ED"/>
    <w:rsid w:val="00CC65A1"/>
    <w:rsid w:val="00CC691B"/>
    <w:rsid w:val="00CC6EE4"/>
    <w:rsid w:val="00CC72D7"/>
    <w:rsid w:val="00CC7608"/>
    <w:rsid w:val="00CC7C3C"/>
    <w:rsid w:val="00CD091A"/>
    <w:rsid w:val="00CD1221"/>
    <w:rsid w:val="00CD146C"/>
    <w:rsid w:val="00CD16E6"/>
    <w:rsid w:val="00CD1B24"/>
    <w:rsid w:val="00CD2F0E"/>
    <w:rsid w:val="00CD320F"/>
    <w:rsid w:val="00CD3FFA"/>
    <w:rsid w:val="00CD412E"/>
    <w:rsid w:val="00CD4AD2"/>
    <w:rsid w:val="00CD5163"/>
    <w:rsid w:val="00CD5CB9"/>
    <w:rsid w:val="00CD5EDF"/>
    <w:rsid w:val="00CD67EB"/>
    <w:rsid w:val="00CD6842"/>
    <w:rsid w:val="00CE010A"/>
    <w:rsid w:val="00CE055A"/>
    <w:rsid w:val="00CE0840"/>
    <w:rsid w:val="00CE09C6"/>
    <w:rsid w:val="00CE11C3"/>
    <w:rsid w:val="00CE13B0"/>
    <w:rsid w:val="00CE1BD6"/>
    <w:rsid w:val="00CE22CE"/>
    <w:rsid w:val="00CE2303"/>
    <w:rsid w:val="00CE2A8F"/>
    <w:rsid w:val="00CE2DD5"/>
    <w:rsid w:val="00CE32B0"/>
    <w:rsid w:val="00CE3E37"/>
    <w:rsid w:val="00CE41C0"/>
    <w:rsid w:val="00CE48DC"/>
    <w:rsid w:val="00CE5E9A"/>
    <w:rsid w:val="00CE754E"/>
    <w:rsid w:val="00CF0018"/>
    <w:rsid w:val="00CF0585"/>
    <w:rsid w:val="00CF066C"/>
    <w:rsid w:val="00CF0883"/>
    <w:rsid w:val="00CF1280"/>
    <w:rsid w:val="00CF1769"/>
    <w:rsid w:val="00CF1B1F"/>
    <w:rsid w:val="00CF1F45"/>
    <w:rsid w:val="00CF1FAF"/>
    <w:rsid w:val="00CF2672"/>
    <w:rsid w:val="00CF334D"/>
    <w:rsid w:val="00CF33F5"/>
    <w:rsid w:val="00CF3D9E"/>
    <w:rsid w:val="00CF3E0C"/>
    <w:rsid w:val="00CF3EF2"/>
    <w:rsid w:val="00CF482F"/>
    <w:rsid w:val="00CF485C"/>
    <w:rsid w:val="00CF4A4F"/>
    <w:rsid w:val="00CF538F"/>
    <w:rsid w:val="00CF5F6D"/>
    <w:rsid w:val="00CF6065"/>
    <w:rsid w:val="00CF6B66"/>
    <w:rsid w:val="00CF6C52"/>
    <w:rsid w:val="00CF78EF"/>
    <w:rsid w:val="00D003AA"/>
    <w:rsid w:val="00D00D32"/>
    <w:rsid w:val="00D02132"/>
    <w:rsid w:val="00D023E0"/>
    <w:rsid w:val="00D02773"/>
    <w:rsid w:val="00D0330F"/>
    <w:rsid w:val="00D03424"/>
    <w:rsid w:val="00D03893"/>
    <w:rsid w:val="00D03A23"/>
    <w:rsid w:val="00D03F06"/>
    <w:rsid w:val="00D05BBA"/>
    <w:rsid w:val="00D05BFD"/>
    <w:rsid w:val="00D0679C"/>
    <w:rsid w:val="00D06E5C"/>
    <w:rsid w:val="00D10368"/>
    <w:rsid w:val="00D10549"/>
    <w:rsid w:val="00D10677"/>
    <w:rsid w:val="00D10715"/>
    <w:rsid w:val="00D1093A"/>
    <w:rsid w:val="00D10A7F"/>
    <w:rsid w:val="00D11917"/>
    <w:rsid w:val="00D12440"/>
    <w:rsid w:val="00D142B6"/>
    <w:rsid w:val="00D144CC"/>
    <w:rsid w:val="00D14AD6"/>
    <w:rsid w:val="00D1592A"/>
    <w:rsid w:val="00D1698E"/>
    <w:rsid w:val="00D1753A"/>
    <w:rsid w:val="00D20041"/>
    <w:rsid w:val="00D200B4"/>
    <w:rsid w:val="00D20629"/>
    <w:rsid w:val="00D20B64"/>
    <w:rsid w:val="00D20BB5"/>
    <w:rsid w:val="00D20BD7"/>
    <w:rsid w:val="00D20CAF"/>
    <w:rsid w:val="00D20D90"/>
    <w:rsid w:val="00D20EA9"/>
    <w:rsid w:val="00D21135"/>
    <w:rsid w:val="00D21D14"/>
    <w:rsid w:val="00D225F7"/>
    <w:rsid w:val="00D23519"/>
    <w:rsid w:val="00D24637"/>
    <w:rsid w:val="00D24C83"/>
    <w:rsid w:val="00D251C3"/>
    <w:rsid w:val="00D25D1E"/>
    <w:rsid w:val="00D26095"/>
    <w:rsid w:val="00D26256"/>
    <w:rsid w:val="00D275B9"/>
    <w:rsid w:val="00D27A99"/>
    <w:rsid w:val="00D30402"/>
    <w:rsid w:val="00D308B8"/>
    <w:rsid w:val="00D30D6D"/>
    <w:rsid w:val="00D31C12"/>
    <w:rsid w:val="00D32C7F"/>
    <w:rsid w:val="00D32FB1"/>
    <w:rsid w:val="00D33134"/>
    <w:rsid w:val="00D33825"/>
    <w:rsid w:val="00D33A2D"/>
    <w:rsid w:val="00D3491B"/>
    <w:rsid w:val="00D34DE4"/>
    <w:rsid w:val="00D34E9A"/>
    <w:rsid w:val="00D355A0"/>
    <w:rsid w:val="00D35716"/>
    <w:rsid w:val="00D35CFD"/>
    <w:rsid w:val="00D35DE3"/>
    <w:rsid w:val="00D36ACC"/>
    <w:rsid w:val="00D36FA7"/>
    <w:rsid w:val="00D40A4E"/>
    <w:rsid w:val="00D40E4E"/>
    <w:rsid w:val="00D41925"/>
    <w:rsid w:val="00D422ED"/>
    <w:rsid w:val="00D42523"/>
    <w:rsid w:val="00D42537"/>
    <w:rsid w:val="00D425A2"/>
    <w:rsid w:val="00D42BEE"/>
    <w:rsid w:val="00D43C66"/>
    <w:rsid w:val="00D451EA"/>
    <w:rsid w:val="00D4593D"/>
    <w:rsid w:val="00D45D09"/>
    <w:rsid w:val="00D46135"/>
    <w:rsid w:val="00D46FD6"/>
    <w:rsid w:val="00D500B3"/>
    <w:rsid w:val="00D51C32"/>
    <w:rsid w:val="00D51D96"/>
    <w:rsid w:val="00D52715"/>
    <w:rsid w:val="00D52A77"/>
    <w:rsid w:val="00D53382"/>
    <w:rsid w:val="00D53F1D"/>
    <w:rsid w:val="00D5423E"/>
    <w:rsid w:val="00D5562D"/>
    <w:rsid w:val="00D55ED4"/>
    <w:rsid w:val="00D566DC"/>
    <w:rsid w:val="00D56B08"/>
    <w:rsid w:val="00D57911"/>
    <w:rsid w:val="00D60547"/>
    <w:rsid w:val="00D60675"/>
    <w:rsid w:val="00D614E2"/>
    <w:rsid w:val="00D61AF8"/>
    <w:rsid w:val="00D61CDA"/>
    <w:rsid w:val="00D6299F"/>
    <w:rsid w:val="00D63712"/>
    <w:rsid w:val="00D637E4"/>
    <w:rsid w:val="00D63920"/>
    <w:rsid w:val="00D63BF6"/>
    <w:rsid w:val="00D64365"/>
    <w:rsid w:val="00D644B8"/>
    <w:rsid w:val="00D64D79"/>
    <w:rsid w:val="00D65C6A"/>
    <w:rsid w:val="00D66498"/>
    <w:rsid w:val="00D676C7"/>
    <w:rsid w:val="00D7078A"/>
    <w:rsid w:val="00D70AD6"/>
    <w:rsid w:val="00D70EC2"/>
    <w:rsid w:val="00D7102F"/>
    <w:rsid w:val="00D71198"/>
    <w:rsid w:val="00D71862"/>
    <w:rsid w:val="00D72188"/>
    <w:rsid w:val="00D729C4"/>
    <w:rsid w:val="00D72A75"/>
    <w:rsid w:val="00D7379B"/>
    <w:rsid w:val="00D73FC3"/>
    <w:rsid w:val="00D7435E"/>
    <w:rsid w:val="00D74F92"/>
    <w:rsid w:val="00D751C7"/>
    <w:rsid w:val="00D75841"/>
    <w:rsid w:val="00D75B07"/>
    <w:rsid w:val="00D76134"/>
    <w:rsid w:val="00D761BB"/>
    <w:rsid w:val="00D77142"/>
    <w:rsid w:val="00D77CEB"/>
    <w:rsid w:val="00D77E2E"/>
    <w:rsid w:val="00D8111B"/>
    <w:rsid w:val="00D81458"/>
    <w:rsid w:val="00D820C8"/>
    <w:rsid w:val="00D824B0"/>
    <w:rsid w:val="00D83678"/>
    <w:rsid w:val="00D838C5"/>
    <w:rsid w:val="00D839FF"/>
    <w:rsid w:val="00D842DB"/>
    <w:rsid w:val="00D84508"/>
    <w:rsid w:val="00D84DB7"/>
    <w:rsid w:val="00D84E4F"/>
    <w:rsid w:val="00D85001"/>
    <w:rsid w:val="00D8640F"/>
    <w:rsid w:val="00D869E2"/>
    <w:rsid w:val="00D86E48"/>
    <w:rsid w:val="00D86FBB"/>
    <w:rsid w:val="00D8725A"/>
    <w:rsid w:val="00D87996"/>
    <w:rsid w:val="00D87C55"/>
    <w:rsid w:val="00D9024A"/>
    <w:rsid w:val="00D91652"/>
    <w:rsid w:val="00D922EF"/>
    <w:rsid w:val="00D92479"/>
    <w:rsid w:val="00D93460"/>
    <w:rsid w:val="00D935EA"/>
    <w:rsid w:val="00D94046"/>
    <w:rsid w:val="00D9438F"/>
    <w:rsid w:val="00D944C5"/>
    <w:rsid w:val="00D944E1"/>
    <w:rsid w:val="00D948C2"/>
    <w:rsid w:val="00D94A5D"/>
    <w:rsid w:val="00D95A62"/>
    <w:rsid w:val="00D95FA3"/>
    <w:rsid w:val="00D96933"/>
    <w:rsid w:val="00D96E50"/>
    <w:rsid w:val="00D978A2"/>
    <w:rsid w:val="00D97BEF"/>
    <w:rsid w:val="00DA1909"/>
    <w:rsid w:val="00DA1DB0"/>
    <w:rsid w:val="00DA1EA0"/>
    <w:rsid w:val="00DA2534"/>
    <w:rsid w:val="00DA2763"/>
    <w:rsid w:val="00DA3625"/>
    <w:rsid w:val="00DA3855"/>
    <w:rsid w:val="00DA46CA"/>
    <w:rsid w:val="00DA483C"/>
    <w:rsid w:val="00DA4BF4"/>
    <w:rsid w:val="00DA4EC4"/>
    <w:rsid w:val="00DA50E3"/>
    <w:rsid w:val="00DA50E9"/>
    <w:rsid w:val="00DA51EB"/>
    <w:rsid w:val="00DA5D36"/>
    <w:rsid w:val="00DA71A0"/>
    <w:rsid w:val="00DA7E55"/>
    <w:rsid w:val="00DA7F5E"/>
    <w:rsid w:val="00DA7FB0"/>
    <w:rsid w:val="00DB0622"/>
    <w:rsid w:val="00DB0EBD"/>
    <w:rsid w:val="00DB1571"/>
    <w:rsid w:val="00DB26D7"/>
    <w:rsid w:val="00DB3895"/>
    <w:rsid w:val="00DB4493"/>
    <w:rsid w:val="00DB46B8"/>
    <w:rsid w:val="00DB556B"/>
    <w:rsid w:val="00DB5F39"/>
    <w:rsid w:val="00DB6072"/>
    <w:rsid w:val="00DB61A4"/>
    <w:rsid w:val="00DB783F"/>
    <w:rsid w:val="00DB7C3D"/>
    <w:rsid w:val="00DC06F1"/>
    <w:rsid w:val="00DC155F"/>
    <w:rsid w:val="00DC256B"/>
    <w:rsid w:val="00DC2D23"/>
    <w:rsid w:val="00DC40AE"/>
    <w:rsid w:val="00DC4304"/>
    <w:rsid w:val="00DC4A52"/>
    <w:rsid w:val="00DC522E"/>
    <w:rsid w:val="00DC5550"/>
    <w:rsid w:val="00DC5922"/>
    <w:rsid w:val="00DC5C06"/>
    <w:rsid w:val="00DC62F7"/>
    <w:rsid w:val="00DD029B"/>
    <w:rsid w:val="00DD0529"/>
    <w:rsid w:val="00DD1AD7"/>
    <w:rsid w:val="00DD2042"/>
    <w:rsid w:val="00DD2BE2"/>
    <w:rsid w:val="00DD2C80"/>
    <w:rsid w:val="00DD2DF8"/>
    <w:rsid w:val="00DD381B"/>
    <w:rsid w:val="00DD3B7C"/>
    <w:rsid w:val="00DD3B9D"/>
    <w:rsid w:val="00DD426D"/>
    <w:rsid w:val="00DD45A4"/>
    <w:rsid w:val="00DD461E"/>
    <w:rsid w:val="00DD4E65"/>
    <w:rsid w:val="00DD50E6"/>
    <w:rsid w:val="00DD52F9"/>
    <w:rsid w:val="00DD53D0"/>
    <w:rsid w:val="00DD58FD"/>
    <w:rsid w:val="00DD60B8"/>
    <w:rsid w:val="00DD6498"/>
    <w:rsid w:val="00DD64D9"/>
    <w:rsid w:val="00DD7405"/>
    <w:rsid w:val="00DE0002"/>
    <w:rsid w:val="00DE03FD"/>
    <w:rsid w:val="00DE0459"/>
    <w:rsid w:val="00DE0465"/>
    <w:rsid w:val="00DE10D5"/>
    <w:rsid w:val="00DE1148"/>
    <w:rsid w:val="00DE1D34"/>
    <w:rsid w:val="00DE2760"/>
    <w:rsid w:val="00DE2EB5"/>
    <w:rsid w:val="00DE3F1B"/>
    <w:rsid w:val="00DE4A1B"/>
    <w:rsid w:val="00DE6546"/>
    <w:rsid w:val="00DE70DB"/>
    <w:rsid w:val="00DE726E"/>
    <w:rsid w:val="00DE79B5"/>
    <w:rsid w:val="00DE7A7D"/>
    <w:rsid w:val="00DF0234"/>
    <w:rsid w:val="00DF0C04"/>
    <w:rsid w:val="00DF21B1"/>
    <w:rsid w:val="00DF279B"/>
    <w:rsid w:val="00DF314F"/>
    <w:rsid w:val="00DF34EF"/>
    <w:rsid w:val="00DF3573"/>
    <w:rsid w:val="00DF3B39"/>
    <w:rsid w:val="00DF3BDB"/>
    <w:rsid w:val="00DF3E7F"/>
    <w:rsid w:val="00DF4141"/>
    <w:rsid w:val="00DF4555"/>
    <w:rsid w:val="00DF4672"/>
    <w:rsid w:val="00DF47FA"/>
    <w:rsid w:val="00DF488A"/>
    <w:rsid w:val="00DF599F"/>
    <w:rsid w:val="00DF648D"/>
    <w:rsid w:val="00DF6CDD"/>
    <w:rsid w:val="00DF705A"/>
    <w:rsid w:val="00DF7C23"/>
    <w:rsid w:val="00E01835"/>
    <w:rsid w:val="00E01B94"/>
    <w:rsid w:val="00E01EB9"/>
    <w:rsid w:val="00E01F5F"/>
    <w:rsid w:val="00E020F1"/>
    <w:rsid w:val="00E03892"/>
    <w:rsid w:val="00E039F4"/>
    <w:rsid w:val="00E04302"/>
    <w:rsid w:val="00E0435E"/>
    <w:rsid w:val="00E047CB"/>
    <w:rsid w:val="00E051FD"/>
    <w:rsid w:val="00E054AA"/>
    <w:rsid w:val="00E05AD9"/>
    <w:rsid w:val="00E05F14"/>
    <w:rsid w:val="00E06116"/>
    <w:rsid w:val="00E06862"/>
    <w:rsid w:val="00E06FC2"/>
    <w:rsid w:val="00E077DC"/>
    <w:rsid w:val="00E07848"/>
    <w:rsid w:val="00E079BB"/>
    <w:rsid w:val="00E101E1"/>
    <w:rsid w:val="00E108E3"/>
    <w:rsid w:val="00E10BC8"/>
    <w:rsid w:val="00E10E38"/>
    <w:rsid w:val="00E10FE6"/>
    <w:rsid w:val="00E1114F"/>
    <w:rsid w:val="00E11369"/>
    <w:rsid w:val="00E1171A"/>
    <w:rsid w:val="00E1172A"/>
    <w:rsid w:val="00E11FCB"/>
    <w:rsid w:val="00E12EC2"/>
    <w:rsid w:val="00E12F90"/>
    <w:rsid w:val="00E13791"/>
    <w:rsid w:val="00E14873"/>
    <w:rsid w:val="00E15E88"/>
    <w:rsid w:val="00E167BB"/>
    <w:rsid w:val="00E16F14"/>
    <w:rsid w:val="00E171FB"/>
    <w:rsid w:val="00E174C9"/>
    <w:rsid w:val="00E177F6"/>
    <w:rsid w:val="00E17C32"/>
    <w:rsid w:val="00E201E1"/>
    <w:rsid w:val="00E20EC3"/>
    <w:rsid w:val="00E2207C"/>
    <w:rsid w:val="00E221F4"/>
    <w:rsid w:val="00E22481"/>
    <w:rsid w:val="00E22DEE"/>
    <w:rsid w:val="00E2360B"/>
    <w:rsid w:val="00E23700"/>
    <w:rsid w:val="00E23C0F"/>
    <w:rsid w:val="00E23E62"/>
    <w:rsid w:val="00E253AE"/>
    <w:rsid w:val="00E25C9B"/>
    <w:rsid w:val="00E25DDF"/>
    <w:rsid w:val="00E26624"/>
    <w:rsid w:val="00E26C0D"/>
    <w:rsid w:val="00E27D58"/>
    <w:rsid w:val="00E305DF"/>
    <w:rsid w:val="00E30DF2"/>
    <w:rsid w:val="00E32384"/>
    <w:rsid w:val="00E32AD8"/>
    <w:rsid w:val="00E32CF2"/>
    <w:rsid w:val="00E32F61"/>
    <w:rsid w:val="00E3478E"/>
    <w:rsid w:val="00E34C82"/>
    <w:rsid w:val="00E34F43"/>
    <w:rsid w:val="00E35B37"/>
    <w:rsid w:val="00E35C42"/>
    <w:rsid w:val="00E3611C"/>
    <w:rsid w:val="00E36578"/>
    <w:rsid w:val="00E36E27"/>
    <w:rsid w:val="00E37530"/>
    <w:rsid w:val="00E37A15"/>
    <w:rsid w:val="00E40103"/>
    <w:rsid w:val="00E4067D"/>
    <w:rsid w:val="00E40BD3"/>
    <w:rsid w:val="00E41151"/>
    <w:rsid w:val="00E41CB3"/>
    <w:rsid w:val="00E42454"/>
    <w:rsid w:val="00E42458"/>
    <w:rsid w:val="00E42570"/>
    <w:rsid w:val="00E427D3"/>
    <w:rsid w:val="00E428AD"/>
    <w:rsid w:val="00E43014"/>
    <w:rsid w:val="00E43355"/>
    <w:rsid w:val="00E443E1"/>
    <w:rsid w:val="00E44745"/>
    <w:rsid w:val="00E44F6A"/>
    <w:rsid w:val="00E4537E"/>
    <w:rsid w:val="00E45A17"/>
    <w:rsid w:val="00E463A6"/>
    <w:rsid w:val="00E46997"/>
    <w:rsid w:val="00E46A75"/>
    <w:rsid w:val="00E476E7"/>
    <w:rsid w:val="00E47A19"/>
    <w:rsid w:val="00E47FF7"/>
    <w:rsid w:val="00E50372"/>
    <w:rsid w:val="00E5053B"/>
    <w:rsid w:val="00E512A0"/>
    <w:rsid w:val="00E51B36"/>
    <w:rsid w:val="00E51BF5"/>
    <w:rsid w:val="00E52A85"/>
    <w:rsid w:val="00E53A7E"/>
    <w:rsid w:val="00E53C28"/>
    <w:rsid w:val="00E54C13"/>
    <w:rsid w:val="00E54F2D"/>
    <w:rsid w:val="00E55690"/>
    <w:rsid w:val="00E5635C"/>
    <w:rsid w:val="00E57CBB"/>
    <w:rsid w:val="00E600AC"/>
    <w:rsid w:val="00E614D9"/>
    <w:rsid w:val="00E61D9F"/>
    <w:rsid w:val="00E635AD"/>
    <w:rsid w:val="00E63741"/>
    <w:rsid w:val="00E64DE7"/>
    <w:rsid w:val="00E64F18"/>
    <w:rsid w:val="00E6532E"/>
    <w:rsid w:val="00E65525"/>
    <w:rsid w:val="00E657A1"/>
    <w:rsid w:val="00E66251"/>
    <w:rsid w:val="00E6659B"/>
    <w:rsid w:val="00E671AC"/>
    <w:rsid w:val="00E67492"/>
    <w:rsid w:val="00E67B3E"/>
    <w:rsid w:val="00E7025A"/>
    <w:rsid w:val="00E70382"/>
    <w:rsid w:val="00E70E6C"/>
    <w:rsid w:val="00E7104F"/>
    <w:rsid w:val="00E714AC"/>
    <w:rsid w:val="00E7161E"/>
    <w:rsid w:val="00E71E98"/>
    <w:rsid w:val="00E72D58"/>
    <w:rsid w:val="00E74884"/>
    <w:rsid w:val="00E74E39"/>
    <w:rsid w:val="00E74E7C"/>
    <w:rsid w:val="00E74FD5"/>
    <w:rsid w:val="00E750CF"/>
    <w:rsid w:val="00E7529C"/>
    <w:rsid w:val="00E76030"/>
    <w:rsid w:val="00E76090"/>
    <w:rsid w:val="00E7678F"/>
    <w:rsid w:val="00E779A7"/>
    <w:rsid w:val="00E77EC1"/>
    <w:rsid w:val="00E8086A"/>
    <w:rsid w:val="00E811E3"/>
    <w:rsid w:val="00E8192B"/>
    <w:rsid w:val="00E81FB0"/>
    <w:rsid w:val="00E820B0"/>
    <w:rsid w:val="00E821C2"/>
    <w:rsid w:val="00E82284"/>
    <w:rsid w:val="00E83069"/>
    <w:rsid w:val="00E841CA"/>
    <w:rsid w:val="00E84810"/>
    <w:rsid w:val="00E85EFE"/>
    <w:rsid w:val="00E861A2"/>
    <w:rsid w:val="00E86584"/>
    <w:rsid w:val="00E86A92"/>
    <w:rsid w:val="00E87040"/>
    <w:rsid w:val="00E870E1"/>
    <w:rsid w:val="00E90715"/>
    <w:rsid w:val="00E91427"/>
    <w:rsid w:val="00E917F7"/>
    <w:rsid w:val="00E92BA8"/>
    <w:rsid w:val="00E92D72"/>
    <w:rsid w:val="00E935EA"/>
    <w:rsid w:val="00E93ADC"/>
    <w:rsid w:val="00E93DA4"/>
    <w:rsid w:val="00E93F0D"/>
    <w:rsid w:val="00E945AF"/>
    <w:rsid w:val="00E94B3B"/>
    <w:rsid w:val="00E9556C"/>
    <w:rsid w:val="00E9668E"/>
    <w:rsid w:val="00E967D7"/>
    <w:rsid w:val="00E97046"/>
    <w:rsid w:val="00E97FDE"/>
    <w:rsid w:val="00EA0443"/>
    <w:rsid w:val="00EA0BB1"/>
    <w:rsid w:val="00EA1413"/>
    <w:rsid w:val="00EA167E"/>
    <w:rsid w:val="00EA194C"/>
    <w:rsid w:val="00EA1951"/>
    <w:rsid w:val="00EA1BFE"/>
    <w:rsid w:val="00EA2127"/>
    <w:rsid w:val="00EA2633"/>
    <w:rsid w:val="00EA2F3B"/>
    <w:rsid w:val="00EA3487"/>
    <w:rsid w:val="00EA4194"/>
    <w:rsid w:val="00EA48A5"/>
    <w:rsid w:val="00EA49BA"/>
    <w:rsid w:val="00EA5605"/>
    <w:rsid w:val="00EA567F"/>
    <w:rsid w:val="00EA56A5"/>
    <w:rsid w:val="00EA5C9F"/>
    <w:rsid w:val="00EA5FE9"/>
    <w:rsid w:val="00EA606D"/>
    <w:rsid w:val="00EA6393"/>
    <w:rsid w:val="00EA6BD4"/>
    <w:rsid w:val="00EA7215"/>
    <w:rsid w:val="00EB1378"/>
    <w:rsid w:val="00EB1967"/>
    <w:rsid w:val="00EB1B7D"/>
    <w:rsid w:val="00EB1E0E"/>
    <w:rsid w:val="00EB1FF8"/>
    <w:rsid w:val="00EB218B"/>
    <w:rsid w:val="00EB2B40"/>
    <w:rsid w:val="00EB2C44"/>
    <w:rsid w:val="00EB2F84"/>
    <w:rsid w:val="00EB3C59"/>
    <w:rsid w:val="00EB3C60"/>
    <w:rsid w:val="00EB41A2"/>
    <w:rsid w:val="00EB42BB"/>
    <w:rsid w:val="00EB45CF"/>
    <w:rsid w:val="00EB534E"/>
    <w:rsid w:val="00EB53C4"/>
    <w:rsid w:val="00EB5850"/>
    <w:rsid w:val="00EB59FC"/>
    <w:rsid w:val="00EB5BCC"/>
    <w:rsid w:val="00EB6954"/>
    <w:rsid w:val="00EB751D"/>
    <w:rsid w:val="00EB7665"/>
    <w:rsid w:val="00EB7D82"/>
    <w:rsid w:val="00EB7EE6"/>
    <w:rsid w:val="00EB7F5B"/>
    <w:rsid w:val="00EC007E"/>
    <w:rsid w:val="00EC0146"/>
    <w:rsid w:val="00EC08CB"/>
    <w:rsid w:val="00EC1674"/>
    <w:rsid w:val="00EC29BF"/>
    <w:rsid w:val="00EC3530"/>
    <w:rsid w:val="00EC38B3"/>
    <w:rsid w:val="00EC3C84"/>
    <w:rsid w:val="00EC4224"/>
    <w:rsid w:val="00EC4EC6"/>
    <w:rsid w:val="00EC5F52"/>
    <w:rsid w:val="00EC6545"/>
    <w:rsid w:val="00EC689D"/>
    <w:rsid w:val="00EC6B1F"/>
    <w:rsid w:val="00EC70D4"/>
    <w:rsid w:val="00EC7659"/>
    <w:rsid w:val="00EC7822"/>
    <w:rsid w:val="00EC7F35"/>
    <w:rsid w:val="00EC7F58"/>
    <w:rsid w:val="00ED0EE1"/>
    <w:rsid w:val="00ED11D5"/>
    <w:rsid w:val="00ED246B"/>
    <w:rsid w:val="00ED2641"/>
    <w:rsid w:val="00ED2A45"/>
    <w:rsid w:val="00ED2E52"/>
    <w:rsid w:val="00ED2FC6"/>
    <w:rsid w:val="00ED30D2"/>
    <w:rsid w:val="00ED3B7A"/>
    <w:rsid w:val="00ED4000"/>
    <w:rsid w:val="00ED4016"/>
    <w:rsid w:val="00ED42CB"/>
    <w:rsid w:val="00ED4EFC"/>
    <w:rsid w:val="00ED5385"/>
    <w:rsid w:val="00ED5713"/>
    <w:rsid w:val="00ED5AC7"/>
    <w:rsid w:val="00ED617F"/>
    <w:rsid w:val="00ED6352"/>
    <w:rsid w:val="00ED6574"/>
    <w:rsid w:val="00ED6989"/>
    <w:rsid w:val="00ED7C25"/>
    <w:rsid w:val="00EE124F"/>
    <w:rsid w:val="00EE33B5"/>
    <w:rsid w:val="00EE3606"/>
    <w:rsid w:val="00EE3802"/>
    <w:rsid w:val="00EE39A4"/>
    <w:rsid w:val="00EE3BB3"/>
    <w:rsid w:val="00EE4D7E"/>
    <w:rsid w:val="00EE5087"/>
    <w:rsid w:val="00EE58F0"/>
    <w:rsid w:val="00EE5F66"/>
    <w:rsid w:val="00EE6C12"/>
    <w:rsid w:val="00EE7025"/>
    <w:rsid w:val="00EE713F"/>
    <w:rsid w:val="00EE7F5A"/>
    <w:rsid w:val="00EF0C3B"/>
    <w:rsid w:val="00EF0D56"/>
    <w:rsid w:val="00EF0EFF"/>
    <w:rsid w:val="00EF180B"/>
    <w:rsid w:val="00EF1E9D"/>
    <w:rsid w:val="00EF21F4"/>
    <w:rsid w:val="00EF298C"/>
    <w:rsid w:val="00EF2EE0"/>
    <w:rsid w:val="00EF37C9"/>
    <w:rsid w:val="00EF3985"/>
    <w:rsid w:val="00EF3C80"/>
    <w:rsid w:val="00EF3CC7"/>
    <w:rsid w:val="00EF551A"/>
    <w:rsid w:val="00EF5865"/>
    <w:rsid w:val="00EF622E"/>
    <w:rsid w:val="00EF623C"/>
    <w:rsid w:val="00EF6762"/>
    <w:rsid w:val="00F00627"/>
    <w:rsid w:val="00F008B1"/>
    <w:rsid w:val="00F0090E"/>
    <w:rsid w:val="00F0135B"/>
    <w:rsid w:val="00F01ED4"/>
    <w:rsid w:val="00F0274B"/>
    <w:rsid w:val="00F03023"/>
    <w:rsid w:val="00F03483"/>
    <w:rsid w:val="00F03995"/>
    <w:rsid w:val="00F03DD5"/>
    <w:rsid w:val="00F04BD4"/>
    <w:rsid w:val="00F04C37"/>
    <w:rsid w:val="00F04D6D"/>
    <w:rsid w:val="00F056D3"/>
    <w:rsid w:val="00F05979"/>
    <w:rsid w:val="00F05B22"/>
    <w:rsid w:val="00F0654F"/>
    <w:rsid w:val="00F066EC"/>
    <w:rsid w:val="00F06BD3"/>
    <w:rsid w:val="00F070B4"/>
    <w:rsid w:val="00F07127"/>
    <w:rsid w:val="00F101AC"/>
    <w:rsid w:val="00F10CA3"/>
    <w:rsid w:val="00F12583"/>
    <w:rsid w:val="00F12B32"/>
    <w:rsid w:val="00F13BB3"/>
    <w:rsid w:val="00F140DA"/>
    <w:rsid w:val="00F1455E"/>
    <w:rsid w:val="00F14A9C"/>
    <w:rsid w:val="00F1535A"/>
    <w:rsid w:val="00F15635"/>
    <w:rsid w:val="00F15932"/>
    <w:rsid w:val="00F1622D"/>
    <w:rsid w:val="00F20854"/>
    <w:rsid w:val="00F20D2D"/>
    <w:rsid w:val="00F20FFF"/>
    <w:rsid w:val="00F2121C"/>
    <w:rsid w:val="00F22341"/>
    <w:rsid w:val="00F23086"/>
    <w:rsid w:val="00F2363B"/>
    <w:rsid w:val="00F2394B"/>
    <w:rsid w:val="00F23C97"/>
    <w:rsid w:val="00F24D29"/>
    <w:rsid w:val="00F252F8"/>
    <w:rsid w:val="00F25AD1"/>
    <w:rsid w:val="00F25AD9"/>
    <w:rsid w:val="00F25C7B"/>
    <w:rsid w:val="00F269BD"/>
    <w:rsid w:val="00F27683"/>
    <w:rsid w:val="00F27782"/>
    <w:rsid w:val="00F277EB"/>
    <w:rsid w:val="00F2795D"/>
    <w:rsid w:val="00F27A0D"/>
    <w:rsid w:val="00F30752"/>
    <w:rsid w:val="00F30B9A"/>
    <w:rsid w:val="00F30BF6"/>
    <w:rsid w:val="00F31306"/>
    <w:rsid w:val="00F31462"/>
    <w:rsid w:val="00F31F7E"/>
    <w:rsid w:val="00F3347C"/>
    <w:rsid w:val="00F33B57"/>
    <w:rsid w:val="00F33BF8"/>
    <w:rsid w:val="00F342DA"/>
    <w:rsid w:val="00F3461E"/>
    <w:rsid w:val="00F34F68"/>
    <w:rsid w:val="00F34FBF"/>
    <w:rsid w:val="00F35503"/>
    <w:rsid w:val="00F35B11"/>
    <w:rsid w:val="00F35CD3"/>
    <w:rsid w:val="00F35D7D"/>
    <w:rsid w:val="00F35F69"/>
    <w:rsid w:val="00F360C1"/>
    <w:rsid w:val="00F36CF5"/>
    <w:rsid w:val="00F37850"/>
    <w:rsid w:val="00F4009B"/>
    <w:rsid w:val="00F40B65"/>
    <w:rsid w:val="00F40CF9"/>
    <w:rsid w:val="00F41E10"/>
    <w:rsid w:val="00F42012"/>
    <w:rsid w:val="00F425E6"/>
    <w:rsid w:val="00F42940"/>
    <w:rsid w:val="00F42D4C"/>
    <w:rsid w:val="00F43087"/>
    <w:rsid w:val="00F431BA"/>
    <w:rsid w:val="00F4417B"/>
    <w:rsid w:val="00F44778"/>
    <w:rsid w:val="00F44820"/>
    <w:rsid w:val="00F45112"/>
    <w:rsid w:val="00F454DE"/>
    <w:rsid w:val="00F4564B"/>
    <w:rsid w:val="00F45B5A"/>
    <w:rsid w:val="00F4647F"/>
    <w:rsid w:val="00F46C0A"/>
    <w:rsid w:val="00F470EF"/>
    <w:rsid w:val="00F47184"/>
    <w:rsid w:val="00F47BE8"/>
    <w:rsid w:val="00F50611"/>
    <w:rsid w:val="00F507D0"/>
    <w:rsid w:val="00F5102C"/>
    <w:rsid w:val="00F511D5"/>
    <w:rsid w:val="00F51594"/>
    <w:rsid w:val="00F51782"/>
    <w:rsid w:val="00F52779"/>
    <w:rsid w:val="00F528EF"/>
    <w:rsid w:val="00F52A8E"/>
    <w:rsid w:val="00F52AC2"/>
    <w:rsid w:val="00F52E03"/>
    <w:rsid w:val="00F53444"/>
    <w:rsid w:val="00F535D4"/>
    <w:rsid w:val="00F54260"/>
    <w:rsid w:val="00F5445B"/>
    <w:rsid w:val="00F54D94"/>
    <w:rsid w:val="00F5573D"/>
    <w:rsid w:val="00F56C92"/>
    <w:rsid w:val="00F5722C"/>
    <w:rsid w:val="00F57687"/>
    <w:rsid w:val="00F57ED4"/>
    <w:rsid w:val="00F60238"/>
    <w:rsid w:val="00F605EF"/>
    <w:rsid w:val="00F60ED5"/>
    <w:rsid w:val="00F6291F"/>
    <w:rsid w:val="00F63224"/>
    <w:rsid w:val="00F632D8"/>
    <w:rsid w:val="00F63722"/>
    <w:rsid w:val="00F63D68"/>
    <w:rsid w:val="00F63D79"/>
    <w:rsid w:val="00F64002"/>
    <w:rsid w:val="00F654DB"/>
    <w:rsid w:val="00F6573F"/>
    <w:rsid w:val="00F658D4"/>
    <w:rsid w:val="00F65DDE"/>
    <w:rsid w:val="00F65E24"/>
    <w:rsid w:val="00F66224"/>
    <w:rsid w:val="00F66EA8"/>
    <w:rsid w:val="00F67374"/>
    <w:rsid w:val="00F67778"/>
    <w:rsid w:val="00F67D54"/>
    <w:rsid w:val="00F67F91"/>
    <w:rsid w:val="00F703A8"/>
    <w:rsid w:val="00F70681"/>
    <w:rsid w:val="00F72425"/>
    <w:rsid w:val="00F72985"/>
    <w:rsid w:val="00F72A59"/>
    <w:rsid w:val="00F72B80"/>
    <w:rsid w:val="00F72DA3"/>
    <w:rsid w:val="00F72E85"/>
    <w:rsid w:val="00F73007"/>
    <w:rsid w:val="00F73826"/>
    <w:rsid w:val="00F73915"/>
    <w:rsid w:val="00F73A82"/>
    <w:rsid w:val="00F74140"/>
    <w:rsid w:val="00F7453E"/>
    <w:rsid w:val="00F74F62"/>
    <w:rsid w:val="00F75B54"/>
    <w:rsid w:val="00F75E10"/>
    <w:rsid w:val="00F76254"/>
    <w:rsid w:val="00F76650"/>
    <w:rsid w:val="00F76F5B"/>
    <w:rsid w:val="00F7747B"/>
    <w:rsid w:val="00F774CD"/>
    <w:rsid w:val="00F77CA0"/>
    <w:rsid w:val="00F806F1"/>
    <w:rsid w:val="00F81160"/>
    <w:rsid w:val="00F820BD"/>
    <w:rsid w:val="00F825B6"/>
    <w:rsid w:val="00F82CCF"/>
    <w:rsid w:val="00F83009"/>
    <w:rsid w:val="00F830E5"/>
    <w:rsid w:val="00F831A6"/>
    <w:rsid w:val="00F83E63"/>
    <w:rsid w:val="00F84AF1"/>
    <w:rsid w:val="00F858F7"/>
    <w:rsid w:val="00F85B72"/>
    <w:rsid w:val="00F86278"/>
    <w:rsid w:val="00F86D12"/>
    <w:rsid w:val="00F87656"/>
    <w:rsid w:val="00F87F4F"/>
    <w:rsid w:val="00F90279"/>
    <w:rsid w:val="00F911B5"/>
    <w:rsid w:val="00F91C66"/>
    <w:rsid w:val="00F924D0"/>
    <w:rsid w:val="00F9272F"/>
    <w:rsid w:val="00F93080"/>
    <w:rsid w:val="00F938F0"/>
    <w:rsid w:val="00F93961"/>
    <w:rsid w:val="00F93CC9"/>
    <w:rsid w:val="00F94793"/>
    <w:rsid w:val="00F95397"/>
    <w:rsid w:val="00F954C0"/>
    <w:rsid w:val="00F95AA4"/>
    <w:rsid w:val="00F9633C"/>
    <w:rsid w:val="00F96C3C"/>
    <w:rsid w:val="00F9715C"/>
    <w:rsid w:val="00F97340"/>
    <w:rsid w:val="00F976C4"/>
    <w:rsid w:val="00F97BE8"/>
    <w:rsid w:val="00F97F15"/>
    <w:rsid w:val="00FA076D"/>
    <w:rsid w:val="00FA08E1"/>
    <w:rsid w:val="00FA19F1"/>
    <w:rsid w:val="00FA1BF4"/>
    <w:rsid w:val="00FA2540"/>
    <w:rsid w:val="00FA2E71"/>
    <w:rsid w:val="00FA4530"/>
    <w:rsid w:val="00FA4950"/>
    <w:rsid w:val="00FA5E6B"/>
    <w:rsid w:val="00FA61FA"/>
    <w:rsid w:val="00FA6E21"/>
    <w:rsid w:val="00FA70CE"/>
    <w:rsid w:val="00FA70DB"/>
    <w:rsid w:val="00FA7ABC"/>
    <w:rsid w:val="00FB0B90"/>
    <w:rsid w:val="00FB0C30"/>
    <w:rsid w:val="00FB0F87"/>
    <w:rsid w:val="00FB1BE4"/>
    <w:rsid w:val="00FB1DCB"/>
    <w:rsid w:val="00FB2035"/>
    <w:rsid w:val="00FB317D"/>
    <w:rsid w:val="00FB35EC"/>
    <w:rsid w:val="00FB3E0E"/>
    <w:rsid w:val="00FB42B0"/>
    <w:rsid w:val="00FB43AF"/>
    <w:rsid w:val="00FB4AC1"/>
    <w:rsid w:val="00FB4DF7"/>
    <w:rsid w:val="00FB57A4"/>
    <w:rsid w:val="00FB5825"/>
    <w:rsid w:val="00FB5BB0"/>
    <w:rsid w:val="00FB5BD4"/>
    <w:rsid w:val="00FB64DB"/>
    <w:rsid w:val="00FB64F2"/>
    <w:rsid w:val="00FB67EC"/>
    <w:rsid w:val="00FB78DB"/>
    <w:rsid w:val="00FB78E2"/>
    <w:rsid w:val="00FB7953"/>
    <w:rsid w:val="00FC00BA"/>
    <w:rsid w:val="00FC1A26"/>
    <w:rsid w:val="00FC1F7E"/>
    <w:rsid w:val="00FC2396"/>
    <w:rsid w:val="00FC24CE"/>
    <w:rsid w:val="00FC2993"/>
    <w:rsid w:val="00FC386D"/>
    <w:rsid w:val="00FC394E"/>
    <w:rsid w:val="00FC47BF"/>
    <w:rsid w:val="00FC4FFD"/>
    <w:rsid w:val="00FC5E2E"/>
    <w:rsid w:val="00FC607E"/>
    <w:rsid w:val="00FC68B3"/>
    <w:rsid w:val="00FC7256"/>
    <w:rsid w:val="00FC7394"/>
    <w:rsid w:val="00FC76CC"/>
    <w:rsid w:val="00FC7987"/>
    <w:rsid w:val="00FC7DA0"/>
    <w:rsid w:val="00FD175A"/>
    <w:rsid w:val="00FD205C"/>
    <w:rsid w:val="00FD264B"/>
    <w:rsid w:val="00FD2698"/>
    <w:rsid w:val="00FD29BC"/>
    <w:rsid w:val="00FD2F1A"/>
    <w:rsid w:val="00FD2F90"/>
    <w:rsid w:val="00FD32B0"/>
    <w:rsid w:val="00FD3CBD"/>
    <w:rsid w:val="00FD3EAA"/>
    <w:rsid w:val="00FD455A"/>
    <w:rsid w:val="00FD545D"/>
    <w:rsid w:val="00FD5586"/>
    <w:rsid w:val="00FD6719"/>
    <w:rsid w:val="00FD69CA"/>
    <w:rsid w:val="00FD7083"/>
    <w:rsid w:val="00FD732D"/>
    <w:rsid w:val="00FD73D7"/>
    <w:rsid w:val="00FD7712"/>
    <w:rsid w:val="00FE068C"/>
    <w:rsid w:val="00FE06A0"/>
    <w:rsid w:val="00FE07B0"/>
    <w:rsid w:val="00FE08EE"/>
    <w:rsid w:val="00FE0A6D"/>
    <w:rsid w:val="00FE1D93"/>
    <w:rsid w:val="00FE22CB"/>
    <w:rsid w:val="00FE298C"/>
    <w:rsid w:val="00FE2B13"/>
    <w:rsid w:val="00FE2B7F"/>
    <w:rsid w:val="00FE39B1"/>
    <w:rsid w:val="00FE54B6"/>
    <w:rsid w:val="00FE64CA"/>
    <w:rsid w:val="00FE7121"/>
    <w:rsid w:val="00FE7237"/>
    <w:rsid w:val="00FE7300"/>
    <w:rsid w:val="00FE7321"/>
    <w:rsid w:val="00FE7380"/>
    <w:rsid w:val="00FE73C7"/>
    <w:rsid w:val="00FE7A60"/>
    <w:rsid w:val="00FF01AB"/>
    <w:rsid w:val="00FF0F7A"/>
    <w:rsid w:val="00FF1519"/>
    <w:rsid w:val="00FF1E06"/>
    <w:rsid w:val="00FF2100"/>
    <w:rsid w:val="00FF22F6"/>
    <w:rsid w:val="00FF22FB"/>
    <w:rsid w:val="00FF265C"/>
    <w:rsid w:val="00FF2E5C"/>
    <w:rsid w:val="00FF32DA"/>
    <w:rsid w:val="00FF336E"/>
    <w:rsid w:val="00FF44F6"/>
    <w:rsid w:val="00FF465E"/>
    <w:rsid w:val="00FF531C"/>
    <w:rsid w:val="00FF6B3C"/>
    <w:rsid w:val="00FF70CE"/>
    <w:rsid w:val="00FF7796"/>
    <w:rsid w:val="00FF7CDF"/>
    <w:rsid w:val="13A869B1"/>
    <w:rsid w:val="39AC38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48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DAE"/>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025DAE"/>
    <w:pPr>
      <w:keepNext/>
      <w:keepLines/>
      <w:spacing w:line="578" w:lineRule="auto"/>
      <w:outlineLvl w:val="0"/>
    </w:pPr>
    <w:rPr>
      <w:rFonts w:eastAsia="黑体"/>
      <w:b/>
      <w:bCs/>
      <w:kern w:val="44"/>
      <w:sz w:val="32"/>
      <w:szCs w:val="30"/>
    </w:rPr>
  </w:style>
  <w:style w:type="paragraph" w:styleId="2">
    <w:name w:val="heading 2"/>
    <w:basedOn w:val="a"/>
    <w:next w:val="a"/>
    <w:link w:val="2Char"/>
    <w:uiPriority w:val="9"/>
    <w:unhideWhenUsed/>
    <w:qFormat/>
    <w:rsid w:val="00025DAE"/>
    <w:pPr>
      <w:keepNext/>
      <w:keepLines/>
      <w:spacing w:before="20" w:after="20"/>
      <w:outlineLvl w:val="1"/>
    </w:pPr>
    <w:rPr>
      <w:rFonts w:asciiTheme="majorHAnsi" w:eastAsia="黑体" w:hAnsiTheme="majorHAnsi" w:cstheme="majorBidi"/>
      <w:b/>
      <w:bCs/>
      <w:sz w:val="28"/>
      <w:szCs w:val="32"/>
    </w:rPr>
  </w:style>
  <w:style w:type="paragraph" w:styleId="3">
    <w:name w:val="heading 3"/>
    <w:basedOn w:val="a"/>
    <w:next w:val="a"/>
    <w:link w:val="3Char"/>
    <w:uiPriority w:val="9"/>
    <w:unhideWhenUsed/>
    <w:qFormat/>
    <w:rsid w:val="00025DAE"/>
    <w:pPr>
      <w:keepNext/>
      <w:keepLines/>
      <w:spacing w:before="120" w:after="120" w:line="416" w:lineRule="auto"/>
      <w:outlineLvl w:val="2"/>
    </w:pPr>
    <w:rPr>
      <w:rFonts w:eastAsia="黑体"/>
      <w:bCs/>
      <w:sz w:val="28"/>
      <w:szCs w:val="32"/>
    </w:rPr>
  </w:style>
  <w:style w:type="paragraph" w:styleId="4">
    <w:name w:val="heading 4"/>
    <w:basedOn w:val="a"/>
    <w:next w:val="a"/>
    <w:link w:val="4Char"/>
    <w:uiPriority w:val="9"/>
    <w:unhideWhenUsed/>
    <w:qFormat/>
    <w:rsid w:val="00025DA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rsid w:val="00025DAE"/>
    <w:pPr>
      <w:ind w:leftChars="400" w:left="840"/>
    </w:pPr>
  </w:style>
  <w:style w:type="paragraph" w:styleId="a3">
    <w:name w:val="Balloon Text"/>
    <w:basedOn w:val="a"/>
    <w:link w:val="Char"/>
    <w:uiPriority w:val="99"/>
    <w:unhideWhenUsed/>
    <w:qFormat/>
    <w:rsid w:val="00025DAE"/>
    <w:rPr>
      <w:sz w:val="18"/>
      <w:szCs w:val="18"/>
    </w:rPr>
  </w:style>
  <w:style w:type="paragraph" w:styleId="a4">
    <w:name w:val="footer"/>
    <w:basedOn w:val="a"/>
    <w:link w:val="Char0"/>
    <w:uiPriority w:val="99"/>
    <w:unhideWhenUsed/>
    <w:qFormat/>
    <w:rsid w:val="00025DAE"/>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25DA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025DAE"/>
  </w:style>
  <w:style w:type="paragraph" w:styleId="20">
    <w:name w:val="toc 2"/>
    <w:basedOn w:val="a"/>
    <w:next w:val="a"/>
    <w:uiPriority w:val="39"/>
    <w:unhideWhenUsed/>
    <w:rsid w:val="00025DAE"/>
    <w:pPr>
      <w:ind w:leftChars="200" w:left="420"/>
    </w:pPr>
  </w:style>
  <w:style w:type="character" w:styleId="a6">
    <w:name w:val="page number"/>
    <w:basedOn w:val="a0"/>
    <w:rsid w:val="00025DAE"/>
  </w:style>
  <w:style w:type="character" w:styleId="a7">
    <w:name w:val="FollowedHyperlink"/>
    <w:basedOn w:val="a0"/>
    <w:uiPriority w:val="99"/>
    <w:semiHidden/>
    <w:unhideWhenUsed/>
    <w:qFormat/>
    <w:rsid w:val="00025DAE"/>
    <w:rPr>
      <w:color w:val="954F72" w:themeColor="followedHyperlink"/>
      <w:u w:val="single"/>
    </w:rPr>
  </w:style>
  <w:style w:type="character" w:styleId="a8">
    <w:name w:val="Hyperlink"/>
    <w:basedOn w:val="a0"/>
    <w:uiPriority w:val="99"/>
    <w:unhideWhenUsed/>
    <w:qFormat/>
    <w:rsid w:val="00025DAE"/>
    <w:rPr>
      <w:color w:val="0563C1" w:themeColor="hyperlink"/>
      <w:u w:val="single"/>
    </w:rPr>
  </w:style>
  <w:style w:type="table" w:styleId="a9">
    <w:name w:val="Table Grid"/>
    <w:basedOn w:val="a1"/>
    <w:uiPriority w:val="59"/>
    <w:rsid w:val="00025DAE"/>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1Char">
    <w:name w:val="样式1表格21 Char"/>
    <w:basedOn w:val="11Char"/>
    <w:link w:val="121"/>
    <w:rsid w:val="00025DAE"/>
    <w:rPr>
      <w:rFonts w:ascii="宋体" w:eastAsia="宋体" w:hAnsi="宋体"/>
      <w:color w:val="000000"/>
      <w:kern w:val="2"/>
      <w:sz w:val="24"/>
      <w:szCs w:val="24"/>
    </w:rPr>
  </w:style>
  <w:style w:type="character" w:customStyle="1" w:styleId="11Char">
    <w:name w:val="样式1表格1 Char"/>
    <w:basedOn w:val="a0"/>
    <w:link w:val="11"/>
    <w:qFormat/>
    <w:rsid w:val="00025DAE"/>
    <w:rPr>
      <w:rFonts w:ascii="宋体" w:eastAsia="宋体" w:hAnsi="宋体"/>
      <w:color w:val="000000"/>
      <w:kern w:val="2"/>
      <w:sz w:val="24"/>
      <w:szCs w:val="24"/>
    </w:rPr>
  </w:style>
  <w:style w:type="paragraph" w:customStyle="1" w:styleId="11">
    <w:name w:val="样式1表格1"/>
    <w:basedOn w:val="a"/>
    <w:link w:val="11Char"/>
    <w:qFormat/>
    <w:rsid w:val="00025DAE"/>
    <w:pPr>
      <w:jc w:val="right"/>
    </w:pPr>
    <w:rPr>
      <w:rFonts w:ascii="宋体" w:hAnsi="宋体"/>
      <w:color w:val="000000"/>
      <w:sz w:val="24"/>
    </w:rPr>
  </w:style>
  <w:style w:type="paragraph" w:customStyle="1" w:styleId="121">
    <w:name w:val="样式1表格21"/>
    <w:basedOn w:val="11"/>
    <w:link w:val="121Char"/>
    <w:qFormat/>
    <w:rsid w:val="00025DAE"/>
  </w:style>
  <w:style w:type="character" w:customStyle="1" w:styleId="Char">
    <w:name w:val="批注框文本 Char"/>
    <w:basedOn w:val="a0"/>
    <w:link w:val="a3"/>
    <w:uiPriority w:val="99"/>
    <w:semiHidden/>
    <w:qFormat/>
    <w:rsid w:val="00025DAE"/>
    <w:rPr>
      <w:rFonts w:ascii="Times New Roman" w:hAnsi="Times New Roman"/>
      <w:kern w:val="2"/>
      <w:sz w:val="18"/>
      <w:szCs w:val="18"/>
    </w:rPr>
  </w:style>
  <w:style w:type="character" w:customStyle="1" w:styleId="Char0">
    <w:name w:val="页脚 Char"/>
    <w:basedOn w:val="a0"/>
    <w:link w:val="a4"/>
    <w:uiPriority w:val="99"/>
    <w:qFormat/>
    <w:rsid w:val="00025DAE"/>
    <w:rPr>
      <w:sz w:val="18"/>
      <w:szCs w:val="18"/>
    </w:rPr>
  </w:style>
  <w:style w:type="character" w:customStyle="1" w:styleId="Char1">
    <w:name w:val="页眉 Char"/>
    <w:basedOn w:val="a0"/>
    <w:link w:val="a5"/>
    <w:uiPriority w:val="99"/>
    <w:qFormat/>
    <w:rsid w:val="00025DAE"/>
    <w:rPr>
      <w:sz w:val="18"/>
      <w:szCs w:val="18"/>
    </w:rPr>
  </w:style>
  <w:style w:type="character" w:customStyle="1" w:styleId="Char2">
    <w:name w:val="宋体 Char"/>
    <w:basedOn w:val="a0"/>
    <w:link w:val="aa"/>
    <w:qFormat/>
    <w:rsid w:val="00025DAE"/>
    <w:rPr>
      <w:rFonts w:ascii="宋体" w:eastAsia="宋体" w:hAnsi="宋体"/>
      <w:color w:val="000000"/>
      <w:kern w:val="2"/>
      <w:sz w:val="22"/>
      <w:szCs w:val="22"/>
    </w:rPr>
  </w:style>
  <w:style w:type="paragraph" w:customStyle="1" w:styleId="aa">
    <w:name w:val="宋体"/>
    <w:basedOn w:val="a"/>
    <w:link w:val="Char2"/>
    <w:qFormat/>
    <w:rsid w:val="00025DAE"/>
    <w:pPr>
      <w:jc w:val="right"/>
    </w:pPr>
    <w:rPr>
      <w:rFonts w:ascii="宋体" w:hAnsi="宋体"/>
      <w:color w:val="000000"/>
      <w:sz w:val="22"/>
      <w:szCs w:val="22"/>
    </w:rPr>
  </w:style>
  <w:style w:type="character" w:customStyle="1" w:styleId="3Char0">
    <w:name w:val="标题3 Char"/>
    <w:basedOn w:val="2Char0"/>
    <w:link w:val="31"/>
    <w:qFormat/>
    <w:rsid w:val="00025DAE"/>
    <w:rPr>
      <w:rFonts w:ascii="宋体" w:eastAsia="宋体" w:hAnsi="宋体"/>
      <w:kern w:val="2"/>
      <w:sz w:val="28"/>
      <w:szCs w:val="28"/>
    </w:rPr>
  </w:style>
  <w:style w:type="character" w:customStyle="1" w:styleId="2Char0">
    <w:name w:val="标题2 Char"/>
    <w:basedOn w:val="a0"/>
    <w:link w:val="21"/>
    <w:qFormat/>
    <w:rsid w:val="00025DAE"/>
    <w:rPr>
      <w:rFonts w:ascii="宋体" w:eastAsia="宋体" w:hAnsi="宋体"/>
      <w:b/>
      <w:kern w:val="2"/>
      <w:sz w:val="28"/>
      <w:szCs w:val="28"/>
    </w:rPr>
  </w:style>
  <w:style w:type="paragraph" w:customStyle="1" w:styleId="21">
    <w:name w:val="标题2"/>
    <w:basedOn w:val="a"/>
    <w:link w:val="2Char0"/>
    <w:qFormat/>
    <w:rsid w:val="00025DAE"/>
    <w:rPr>
      <w:rFonts w:ascii="宋体" w:hAnsi="宋体"/>
      <w:b/>
      <w:sz w:val="28"/>
      <w:szCs w:val="28"/>
    </w:rPr>
  </w:style>
  <w:style w:type="paragraph" w:customStyle="1" w:styleId="31">
    <w:name w:val="标题3"/>
    <w:basedOn w:val="21"/>
    <w:link w:val="3Char0"/>
    <w:qFormat/>
    <w:rsid w:val="00025DAE"/>
    <w:pPr>
      <w:jc w:val="center"/>
    </w:pPr>
  </w:style>
  <w:style w:type="character" w:customStyle="1" w:styleId="2Char1">
    <w:name w:val="表格2 Char"/>
    <w:basedOn w:val="a0"/>
    <w:link w:val="22"/>
    <w:qFormat/>
    <w:rsid w:val="00025DAE"/>
    <w:rPr>
      <w:rFonts w:ascii="Times New Roman" w:hAnsi="Times New Roman"/>
      <w:color w:val="000000"/>
      <w:kern w:val="2"/>
      <w:sz w:val="24"/>
      <w:szCs w:val="22"/>
    </w:rPr>
  </w:style>
  <w:style w:type="paragraph" w:customStyle="1" w:styleId="22">
    <w:name w:val="表格2"/>
    <w:basedOn w:val="a"/>
    <w:link w:val="2Char1"/>
    <w:qFormat/>
    <w:rsid w:val="00025DAE"/>
    <w:pPr>
      <w:jc w:val="center"/>
    </w:pPr>
    <w:rPr>
      <w:color w:val="000000"/>
      <w:sz w:val="24"/>
      <w:szCs w:val="22"/>
    </w:rPr>
  </w:style>
  <w:style w:type="character" w:customStyle="1" w:styleId="1Char0">
    <w:name w:val="标题1 Char"/>
    <w:basedOn w:val="a0"/>
    <w:link w:val="12"/>
    <w:qFormat/>
    <w:rsid w:val="00025DAE"/>
    <w:rPr>
      <w:rFonts w:ascii="宋体" w:eastAsia="宋体" w:hAnsi="宋体"/>
      <w:b/>
      <w:kern w:val="2"/>
      <w:sz w:val="28"/>
      <w:szCs w:val="30"/>
    </w:rPr>
  </w:style>
  <w:style w:type="paragraph" w:customStyle="1" w:styleId="12">
    <w:name w:val="标题1"/>
    <w:basedOn w:val="a"/>
    <w:link w:val="1Char0"/>
    <w:qFormat/>
    <w:rsid w:val="00025DAE"/>
    <w:pPr>
      <w:spacing w:line="600" w:lineRule="auto"/>
      <w:ind w:firstLine="573"/>
      <w:jc w:val="center"/>
    </w:pPr>
    <w:rPr>
      <w:rFonts w:ascii="宋体" w:hAnsi="宋体"/>
      <w:b/>
      <w:sz w:val="28"/>
      <w:szCs w:val="30"/>
    </w:rPr>
  </w:style>
  <w:style w:type="character" w:customStyle="1" w:styleId="3Char1">
    <w:name w:val="表格3 Char"/>
    <w:basedOn w:val="a0"/>
    <w:link w:val="32"/>
    <w:qFormat/>
    <w:rsid w:val="00025DAE"/>
    <w:rPr>
      <w:rFonts w:ascii="宋体" w:eastAsia="宋体" w:hAnsi="宋体"/>
      <w:color w:val="000000"/>
      <w:kern w:val="2"/>
      <w:sz w:val="24"/>
      <w:szCs w:val="22"/>
    </w:rPr>
  </w:style>
  <w:style w:type="paragraph" w:customStyle="1" w:styleId="32">
    <w:name w:val="表格3"/>
    <w:basedOn w:val="a"/>
    <w:link w:val="3Char1"/>
    <w:qFormat/>
    <w:rsid w:val="00025DAE"/>
    <w:pPr>
      <w:jc w:val="right"/>
    </w:pPr>
    <w:rPr>
      <w:rFonts w:ascii="宋体" w:hAnsi="宋体"/>
      <w:color w:val="000000"/>
      <w:sz w:val="24"/>
      <w:szCs w:val="22"/>
    </w:rPr>
  </w:style>
  <w:style w:type="character" w:customStyle="1" w:styleId="Char3">
    <w:name w:val="表格 Char"/>
    <w:basedOn w:val="a0"/>
    <w:link w:val="ab"/>
    <w:qFormat/>
    <w:rsid w:val="00025DAE"/>
    <w:rPr>
      <w:rFonts w:ascii="黑体" w:eastAsia="黑体" w:hAnsi="宋体" w:cs="宋体"/>
      <w:color w:val="000000"/>
      <w:sz w:val="24"/>
      <w:szCs w:val="24"/>
    </w:rPr>
  </w:style>
  <w:style w:type="paragraph" w:customStyle="1" w:styleId="ab">
    <w:name w:val="表格"/>
    <w:basedOn w:val="a"/>
    <w:link w:val="Char3"/>
    <w:qFormat/>
    <w:rsid w:val="00025DAE"/>
    <w:pPr>
      <w:widowControl/>
      <w:jc w:val="center"/>
    </w:pPr>
    <w:rPr>
      <w:rFonts w:ascii="黑体" w:eastAsia="黑体" w:hAnsi="宋体" w:cs="宋体"/>
      <w:color w:val="000000"/>
      <w:kern w:val="0"/>
      <w:sz w:val="24"/>
    </w:rPr>
  </w:style>
  <w:style w:type="character" w:customStyle="1" w:styleId="4Char0">
    <w:name w:val="表格4 Char"/>
    <w:basedOn w:val="3Char1"/>
    <w:link w:val="40"/>
    <w:qFormat/>
    <w:rsid w:val="00025DAE"/>
    <w:rPr>
      <w:rFonts w:ascii="宋体" w:eastAsia="宋体" w:hAnsi="宋体"/>
      <w:color w:val="000000"/>
      <w:kern w:val="2"/>
      <w:sz w:val="24"/>
      <w:szCs w:val="22"/>
    </w:rPr>
  </w:style>
  <w:style w:type="paragraph" w:customStyle="1" w:styleId="40">
    <w:name w:val="表格4"/>
    <w:basedOn w:val="32"/>
    <w:link w:val="4Char0"/>
    <w:qFormat/>
    <w:rsid w:val="00025DAE"/>
    <w:pPr>
      <w:jc w:val="center"/>
    </w:pPr>
  </w:style>
  <w:style w:type="paragraph" w:styleId="ac">
    <w:name w:val="List Paragraph"/>
    <w:basedOn w:val="a"/>
    <w:uiPriority w:val="34"/>
    <w:qFormat/>
    <w:rsid w:val="00025DAE"/>
    <w:pPr>
      <w:ind w:firstLineChars="200" w:firstLine="420"/>
    </w:pPr>
  </w:style>
  <w:style w:type="character" w:customStyle="1" w:styleId="13">
    <w:name w:val="未处理的提及1"/>
    <w:basedOn w:val="a0"/>
    <w:uiPriority w:val="99"/>
    <w:semiHidden/>
    <w:unhideWhenUsed/>
    <w:qFormat/>
    <w:rsid w:val="00025DAE"/>
    <w:rPr>
      <w:color w:val="808080"/>
      <w:shd w:val="clear" w:color="auto" w:fill="E6E6E6"/>
    </w:rPr>
  </w:style>
  <w:style w:type="character" w:customStyle="1" w:styleId="1Char">
    <w:name w:val="标题 1 Char"/>
    <w:basedOn w:val="a0"/>
    <w:link w:val="1"/>
    <w:uiPriority w:val="9"/>
    <w:rsid w:val="00025DAE"/>
    <w:rPr>
      <w:rFonts w:ascii="Times New Roman" w:eastAsia="黑体" w:hAnsi="Times New Roman"/>
      <w:b/>
      <w:bCs/>
      <w:kern w:val="44"/>
      <w:sz w:val="32"/>
      <w:szCs w:val="30"/>
    </w:rPr>
  </w:style>
  <w:style w:type="paragraph" w:customStyle="1" w:styleId="TOC1">
    <w:name w:val="TOC 标题1"/>
    <w:basedOn w:val="1"/>
    <w:next w:val="a"/>
    <w:uiPriority w:val="39"/>
    <w:unhideWhenUsed/>
    <w:qFormat/>
    <w:rsid w:val="00025DAE"/>
    <w:pPr>
      <w:widowControl/>
      <w:spacing w:before="480" w:line="276" w:lineRule="auto"/>
      <w:jc w:val="left"/>
      <w:outlineLvl w:val="9"/>
    </w:pPr>
    <w:rPr>
      <w:rFonts w:asciiTheme="majorHAnsi" w:eastAsiaTheme="majorEastAsia" w:hAnsiTheme="majorHAnsi" w:cstheme="majorBidi"/>
      <w:color w:val="2F5496" w:themeColor="accent1" w:themeShade="BF"/>
      <w:kern w:val="0"/>
      <w:sz w:val="28"/>
      <w:szCs w:val="28"/>
    </w:rPr>
  </w:style>
  <w:style w:type="character" w:customStyle="1" w:styleId="2Char">
    <w:name w:val="标题 2 Char"/>
    <w:basedOn w:val="a0"/>
    <w:link w:val="2"/>
    <w:uiPriority w:val="9"/>
    <w:rsid w:val="00025DAE"/>
    <w:rPr>
      <w:rFonts w:asciiTheme="majorHAnsi" w:eastAsia="黑体" w:hAnsiTheme="majorHAnsi" w:cstheme="majorBidi"/>
      <w:b/>
      <w:bCs/>
      <w:kern w:val="2"/>
      <w:sz w:val="28"/>
      <w:szCs w:val="32"/>
    </w:rPr>
  </w:style>
  <w:style w:type="character" w:customStyle="1" w:styleId="3Char">
    <w:name w:val="标题 3 Char"/>
    <w:basedOn w:val="a0"/>
    <w:link w:val="3"/>
    <w:uiPriority w:val="9"/>
    <w:rsid w:val="00025DAE"/>
    <w:rPr>
      <w:rFonts w:ascii="Times New Roman" w:eastAsia="黑体" w:hAnsi="Times New Roman"/>
      <w:bCs/>
      <w:kern w:val="2"/>
      <w:sz w:val="28"/>
      <w:szCs w:val="32"/>
    </w:rPr>
  </w:style>
  <w:style w:type="character" w:customStyle="1" w:styleId="4Char">
    <w:name w:val="标题 4 Char"/>
    <w:basedOn w:val="a0"/>
    <w:link w:val="4"/>
    <w:uiPriority w:val="9"/>
    <w:qFormat/>
    <w:rsid w:val="00025DAE"/>
    <w:rPr>
      <w:rFonts w:asciiTheme="majorHAnsi" w:eastAsiaTheme="majorEastAsia" w:hAnsiTheme="majorHAnsi" w:cstheme="majorBidi"/>
      <w:b/>
      <w:bCs/>
      <w:kern w:val="2"/>
      <w:sz w:val="28"/>
      <w:szCs w:val="28"/>
    </w:rPr>
  </w:style>
  <w:style w:type="paragraph" w:styleId="ad">
    <w:name w:val="caption"/>
    <w:basedOn w:val="a"/>
    <w:next w:val="a"/>
    <w:uiPriority w:val="35"/>
    <w:unhideWhenUsed/>
    <w:qFormat/>
    <w:rsid w:val="00E600AC"/>
    <w:rPr>
      <w:rFonts w:asciiTheme="majorHAnsi" w:eastAsia="黑体" w:hAnsiTheme="majorHAnsi" w:cstheme="majorBidi"/>
      <w:sz w:val="20"/>
      <w:szCs w:val="20"/>
    </w:rPr>
  </w:style>
  <w:style w:type="character" w:customStyle="1" w:styleId="sl-data-cell5">
    <w:name w:val="sl-data-cell5"/>
    <w:basedOn w:val="a0"/>
    <w:rsid w:val="00114CB0"/>
    <w:rPr>
      <w:rFonts w:ascii="Tahoma" w:hAnsi="Tahoma" w:cs="Tahoma" w:hint="default"/>
      <w:i w:val="0"/>
      <w:iCs w:val="0"/>
      <w:sz w:val="19"/>
      <w:szCs w:val="19"/>
    </w:rPr>
  </w:style>
</w:styles>
</file>

<file path=word/webSettings.xml><?xml version="1.0" encoding="utf-8"?>
<w:webSettings xmlns:r="http://schemas.openxmlformats.org/officeDocument/2006/relationships" xmlns:w="http://schemas.openxmlformats.org/wordprocessingml/2006/main">
  <w:divs>
    <w:div w:id="4332814">
      <w:bodyDiv w:val="1"/>
      <w:marLeft w:val="0"/>
      <w:marRight w:val="0"/>
      <w:marTop w:val="0"/>
      <w:marBottom w:val="0"/>
      <w:divBdr>
        <w:top w:val="none" w:sz="0" w:space="0" w:color="auto"/>
        <w:left w:val="none" w:sz="0" w:space="0" w:color="auto"/>
        <w:bottom w:val="none" w:sz="0" w:space="0" w:color="auto"/>
        <w:right w:val="none" w:sz="0" w:space="0" w:color="auto"/>
      </w:divBdr>
    </w:div>
    <w:div w:id="10038412">
      <w:bodyDiv w:val="1"/>
      <w:marLeft w:val="0"/>
      <w:marRight w:val="0"/>
      <w:marTop w:val="0"/>
      <w:marBottom w:val="0"/>
      <w:divBdr>
        <w:top w:val="none" w:sz="0" w:space="0" w:color="auto"/>
        <w:left w:val="none" w:sz="0" w:space="0" w:color="auto"/>
        <w:bottom w:val="none" w:sz="0" w:space="0" w:color="auto"/>
        <w:right w:val="none" w:sz="0" w:space="0" w:color="auto"/>
      </w:divBdr>
    </w:div>
    <w:div w:id="20131716">
      <w:bodyDiv w:val="1"/>
      <w:marLeft w:val="0"/>
      <w:marRight w:val="0"/>
      <w:marTop w:val="0"/>
      <w:marBottom w:val="0"/>
      <w:divBdr>
        <w:top w:val="none" w:sz="0" w:space="0" w:color="auto"/>
        <w:left w:val="none" w:sz="0" w:space="0" w:color="auto"/>
        <w:bottom w:val="none" w:sz="0" w:space="0" w:color="auto"/>
        <w:right w:val="none" w:sz="0" w:space="0" w:color="auto"/>
      </w:divBdr>
    </w:div>
    <w:div w:id="48651281">
      <w:bodyDiv w:val="1"/>
      <w:marLeft w:val="0"/>
      <w:marRight w:val="0"/>
      <w:marTop w:val="0"/>
      <w:marBottom w:val="0"/>
      <w:divBdr>
        <w:top w:val="none" w:sz="0" w:space="0" w:color="auto"/>
        <w:left w:val="none" w:sz="0" w:space="0" w:color="auto"/>
        <w:bottom w:val="none" w:sz="0" w:space="0" w:color="auto"/>
        <w:right w:val="none" w:sz="0" w:space="0" w:color="auto"/>
      </w:divBdr>
    </w:div>
    <w:div w:id="59333255">
      <w:bodyDiv w:val="1"/>
      <w:marLeft w:val="0"/>
      <w:marRight w:val="0"/>
      <w:marTop w:val="0"/>
      <w:marBottom w:val="0"/>
      <w:divBdr>
        <w:top w:val="none" w:sz="0" w:space="0" w:color="auto"/>
        <w:left w:val="none" w:sz="0" w:space="0" w:color="auto"/>
        <w:bottom w:val="none" w:sz="0" w:space="0" w:color="auto"/>
        <w:right w:val="none" w:sz="0" w:space="0" w:color="auto"/>
      </w:divBdr>
    </w:div>
    <w:div w:id="72049739">
      <w:bodyDiv w:val="1"/>
      <w:marLeft w:val="0"/>
      <w:marRight w:val="0"/>
      <w:marTop w:val="0"/>
      <w:marBottom w:val="0"/>
      <w:divBdr>
        <w:top w:val="none" w:sz="0" w:space="0" w:color="auto"/>
        <w:left w:val="none" w:sz="0" w:space="0" w:color="auto"/>
        <w:bottom w:val="none" w:sz="0" w:space="0" w:color="auto"/>
        <w:right w:val="none" w:sz="0" w:space="0" w:color="auto"/>
      </w:divBdr>
    </w:div>
    <w:div w:id="74981125">
      <w:bodyDiv w:val="1"/>
      <w:marLeft w:val="0"/>
      <w:marRight w:val="0"/>
      <w:marTop w:val="0"/>
      <w:marBottom w:val="0"/>
      <w:divBdr>
        <w:top w:val="none" w:sz="0" w:space="0" w:color="auto"/>
        <w:left w:val="none" w:sz="0" w:space="0" w:color="auto"/>
        <w:bottom w:val="none" w:sz="0" w:space="0" w:color="auto"/>
        <w:right w:val="none" w:sz="0" w:space="0" w:color="auto"/>
      </w:divBdr>
    </w:div>
    <w:div w:id="102267740">
      <w:bodyDiv w:val="1"/>
      <w:marLeft w:val="0"/>
      <w:marRight w:val="0"/>
      <w:marTop w:val="0"/>
      <w:marBottom w:val="0"/>
      <w:divBdr>
        <w:top w:val="none" w:sz="0" w:space="0" w:color="auto"/>
        <w:left w:val="none" w:sz="0" w:space="0" w:color="auto"/>
        <w:bottom w:val="none" w:sz="0" w:space="0" w:color="auto"/>
        <w:right w:val="none" w:sz="0" w:space="0" w:color="auto"/>
      </w:divBdr>
    </w:div>
    <w:div w:id="161047681">
      <w:bodyDiv w:val="1"/>
      <w:marLeft w:val="0"/>
      <w:marRight w:val="0"/>
      <w:marTop w:val="0"/>
      <w:marBottom w:val="0"/>
      <w:divBdr>
        <w:top w:val="none" w:sz="0" w:space="0" w:color="auto"/>
        <w:left w:val="none" w:sz="0" w:space="0" w:color="auto"/>
        <w:bottom w:val="none" w:sz="0" w:space="0" w:color="auto"/>
        <w:right w:val="none" w:sz="0" w:space="0" w:color="auto"/>
      </w:divBdr>
    </w:div>
    <w:div w:id="203179994">
      <w:bodyDiv w:val="1"/>
      <w:marLeft w:val="0"/>
      <w:marRight w:val="0"/>
      <w:marTop w:val="0"/>
      <w:marBottom w:val="0"/>
      <w:divBdr>
        <w:top w:val="none" w:sz="0" w:space="0" w:color="auto"/>
        <w:left w:val="none" w:sz="0" w:space="0" w:color="auto"/>
        <w:bottom w:val="none" w:sz="0" w:space="0" w:color="auto"/>
        <w:right w:val="none" w:sz="0" w:space="0" w:color="auto"/>
      </w:divBdr>
    </w:div>
    <w:div w:id="211117289">
      <w:bodyDiv w:val="1"/>
      <w:marLeft w:val="0"/>
      <w:marRight w:val="0"/>
      <w:marTop w:val="0"/>
      <w:marBottom w:val="0"/>
      <w:divBdr>
        <w:top w:val="none" w:sz="0" w:space="0" w:color="auto"/>
        <w:left w:val="none" w:sz="0" w:space="0" w:color="auto"/>
        <w:bottom w:val="none" w:sz="0" w:space="0" w:color="auto"/>
        <w:right w:val="none" w:sz="0" w:space="0" w:color="auto"/>
      </w:divBdr>
    </w:div>
    <w:div w:id="263923410">
      <w:bodyDiv w:val="1"/>
      <w:marLeft w:val="0"/>
      <w:marRight w:val="0"/>
      <w:marTop w:val="0"/>
      <w:marBottom w:val="0"/>
      <w:divBdr>
        <w:top w:val="none" w:sz="0" w:space="0" w:color="auto"/>
        <w:left w:val="none" w:sz="0" w:space="0" w:color="auto"/>
        <w:bottom w:val="none" w:sz="0" w:space="0" w:color="auto"/>
        <w:right w:val="none" w:sz="0" w:space="0" w:color="auto"/>
      </w:divBdr>
    </w:div>
    <w:div w:id="276723281">
      <w:bodyDiv w:val="1"/>
      <w:marLeft w:val="0"/>
      <w:marRight w:val="0"/>
      <w:marTop w:val="0"/>
      <w:marBottom w:val="0"/>
      <w:divBdr>
        <w:top w:val="none" w:sz="0" w:space="0" w:color="auto"/>
        <w:left w:val="none" w:sz="0" w:space="0" w:color="auto"/>
        <w:bottom w:val="none" w:sz="0" w:space="0" w:color="auto"/>
        <w:right w:val="none" w:sz="0" w:space="0" w:color="auto"/>
      </w:divBdr>
    </w:div>
    <w:div w:id="350030062">
      <w:bodyDiv w:val="1"/>
      <w:marLeft w:val="0"/>
      <w:marRight w:val="0"/>
      <w:marTop w:val="0"/>
      <w:marBottom w:val="0"/>
      <w:divBdr>
        <w:top w:val="none" w:sz="0" w:space="0" w:color="auto"/>
        <w:left w:val="none" w:sz="0" w:space="0" w:color="auto"/>
        <w:bottom w:val="none" w:sz="0" w:space="0" w:color="auto"/>
        <w:right w:val="none" w:sz="0" w:space="0" w:color="auto"/>
      </w:divBdr>
    </w:div>
    <w:div w:id="350841888">
      <w:bodyDiv w:val="1"/>
      <w:marLeft w:val="0"/>
      <w:marRight w:val="0"/>
      <w:marTop w:val="0"/>
      <w:marBottom w:val="0"/>
      <w:divBdr>
        <w:top w:val="none" w:sz="0" w:space="0" w:color="auto"/>
        <w:left w:val="none" w:sz="0" w:space="0" w:color="auto"/>
        <w:bottom w:val="none" w:sz="0" w:space="0" w:color="auto"/>
        <w:right w:val="none" w:sz="0" w:space="0" w:color="auto"/>
      </w:divBdr>
    </w:div>
    <w:div w:id="356126222">
      <w:bodyDiv w:val="1"/>
      <w:marLeft w:val="0"/>
      <w:marRight w:val="0"/>
      <w:marTop w:val="0"/>
      <w:marBottom w:val="0"/>
      <w:divBdr>
        <w:top w:val="none" w:sz="0" w:space="0" w:color="auto"/>
        <w:left w:val="none" w:sz="0" w:space="0" w:color="auto"/>
        <w:bottom w:val="none" w:sz="0" w:space="0" w:color="auto"/>
        <w:right w:val="none" w:sz="0" w:space="0" w:color="auto"/>
      </w:divBdr>
    </w:div>
    <w:div w:id="373387356">
      <w:bodyDiv w:val="1"/>
      <w:marLeft w:val="0"/>
      <w:marRight w:val="0"/>
      <w:marTop w:val="0"/>
      <w:marBottom w:val="0"/>
      <w:divBdr>
        <w:top w:val="none" w:sz="0" w:space="0" w:color="auto"/>
        <w:left w:val="none" w:sz="0" w:space="0" w:color="auto"/>
        <w:bottom w:val="none" w:sz="0" w:space="0" w:color="auto"/>
        <w:right w:val="none" w:sz="0" w:space="0" w:color="auto"/>
      </w:divBdr>
    </w:div>
    <w:div w:id="401100355">
      <w:bodyDiv w:val="1"/>
      <w:marLeft w:val="0"/>
      <w:marRight w:val="0"/>
      <w:marTop w:val="0"/>
      <w:marBottom w:val="0"/>
      <w:divBdr>
        <w:top w:val="none" w:sz="0" w:space="0" w:color="auto"/>
        <w:left w:val="none" w:sz="0" w:space="0" w:color="auto"/>
        <w:bottom w:val="none" w:sz="0" w:space="0" w:color="auto"/>
        <w:right w:val="none" w:sz="0" w:space="0" w:color="auto"/>
      </w:divBdr>
    </w:div>
    <w:div w:id="402024028">
      <w:bodyDiv w:val="1"/>
      <w:marLeft w:val="0"/>
      <w:marRight w:val="0"/>
      <w:marTop w:val="0"/>
      <w:marBottom w:val="0"/>
      <w:divBdr>
        <w:top w:val="none" w:sz="0" w:space="0" w:color="auto"/>
        <w:left w:val="none" w:sz="0" w:space="0" w:color="auto"/>
        <w:bottom w:val="none" w:sz="0" w:space="0" w:color="auto"/>
        <w:right w:val="none" w:sz="0" w:space="0" w:color="auto"/>
      </w:divBdr>
    </w:div>
    <w:div w:id="412974614">
      <w:bodyDiv w:val="1"/>
      <w:marLeft w:val="0"/>
      <w:marRight w:val="0"/>
      <w:marTop w:val="0"/>
      <w:marBottom w:val="0"/>
      <w:divBdr>
        <w:top w:val="none" w:sz="0" w:space="0" w:color="auto"/>
        <w:left w:val="none" w:sz="0" w:space="0" w:color="auto"/>
        <w:bottom w:val="none" w:sz="0" w:space="0" w:color="auto"/>
        <w:right w:val="none" w:sz="0" w:space="0" w:color="auto"/>
      </w:divBdr>
    </w:div>
    <w:div w:id="438337404">
      <w:bodyDiv w:val="1"/>
      <w:marLeft w:val="0"/>
      <w:marRight w:val="0"/>
      <w:marTop w:val="0"/>
      <w:marBottom w:val="0"/>
      <w:divBdr>
        <w:top w:val="none" w:sz="0" w:space="0" w:color="auto"/>
        <w:left w:val="none" w:sz="0" w:space="0" w:color="auto"/>
        <w:bottom w:val="none" w:sz="0" w:space="0" w:color="auto"/>
        <w:right w:val="none" w:sz="0" w:space="0" w:color="auto"/>
      </w:divBdr>
    </w:div>
    <w:div w:id="460265627">
      <w:bodyDiv w:val="1"/>
      <w:marLeft w:val="0"/>
      <w:marRight w:val="0"/>
      <w:marTop w:val="0"/>
      <w:marBottom w:val="0"/>
      <w:divBdr>
        <w:top w:val="none" w:sz="0" w:space="0" w:color="auto"/>
        <w:left w:val="none" w:sz="0" w:space="0" w:color="auto"/>
        <w:bottom w:val="none" w:sz="0" w:space="0" w:color="auto"/>
        <w:right w:val="none" w:sz="0" w:space="0" w:color="auto"/>
      </w:divBdr>
    </w:div>
    <w:div w:id="465582275">
      <w:bodyDiv w:val="1"/>
      <w:marLeft w:val="0"/>
      <w:marRight w:val="0"/>
      <w:marTop w:val="0"/>
      <w:marBottom w:val="0"/>
      <w:divBdr>
        <w:top w:val="none" w:sz="0" w:space="0" w:color="auto"/>
        <w:left w:val="none" w:sz="0" w:space="0" w:color="auto"/>
        <w:bottom w:val="none" w:sz="0" w:space="0" w:color="auto"/>
        <w:right w:val="none" w:sz="0" w:space="0" w:color="auto"/>
      </w:divBdr>
    </w:div>
    <w:div w:id="478498364">
      <w:bodyDiv w:val="1"/>
      <w:marLeft w:val="0"/>
      <w:marRight w:val="0"/>
      <w:marTop w:val="0"/>
      <w:marBottom w:val="0"/>
      <w:divBdr>
        <w:top w:val="none" w:sz="0" w:space="0" w:color="auto"/>
        <w:left w:val="none" w:sz="0" w:space="0" w:color="auto"/>
        <w:bottom w:val="none" w:sz="0" w:space="0" w:color="auto"/>
        <w:right w:val="none" w:sz="0" w:space="0" w:color="auto"/>
      </w:divBdr>
    </w:div>
    <w:div w:id="512960869">
      <w:bodyDiv w:val="1"/>
      <w:marLeft w:val="0"/>
      <w:marRight w:val="0"/>
      <w:marTop w:val="0"/>
      <w:marBottom w:val="0"/>
      <w:divBdr>
        <w:top w:val="none" w:sz="0" w:space="0" w:color="auto"/>
        <w:left w:val="none" w:sz="0" w:space="0" w:color="auto"/>
        <w:bottom w:val="none" w:sz="0" w:space="0" w:color="auto"/>
        <w:right w:val="none" w:sz="0" w:space="0" w:color="auto"/>
      </w:divBdr>
    </w:div>
    <w:div w:id="526989949">
      <w:bodyDiv w:val="1"/>
      <w:marLeft w:val="0"/>
      <w:marRight w:val="0"/>
      <w:marTop w:val="0"/>
      <w:marBottom w:val="0"/>
      <w:divBdr>
        <w:top w:val="none" w:sz="0" w:space="0" w:color="auto"/>
        <w:left w:val="none" w:sz="0" w:space="0" w:color="auto"/>
        <w:bottom w:val="none" w:sz="0" w:space="0" w:color="auto"/>
        <w:right w:val="none" w:sz="0" w:space="0" w:color="auto"/>
      </w:divBdr>
    </w:div>
    <w:div w:id="539899672">
      <w:bodyDiv w:val="1"/>
      <w:marLeft w:val="0"/>
      <w:marRight w:val="0"/>
      <w:marTop w:val="0"/>
      <w:marBottom w:val="0"/>
      <w:divBdr>
        <w:top w:val="none" w:sz="0" w:space="0" w:color="auto"/>
        <w:left w:val="none" w:sz="0" w:space="0" w:color="auto"/>
        <w:bottom w:val="none" w:sz="0" w:space="0" w:color="auto"/>
        <w:right w:val="none" w:sz="0" w:space="0" w:color="auto"/>
      </w:divBdr>
    </w:div>
    <w:div w:id="548421232">
      <w:bodyDiv w:val="1"/>
      <w:marLeft w:val="0"/>
      <w:marRight w:val="0"/>
      <w:marTop w:val="0"/>
      <w:marBottom w:val="0"/>
      <w:divBdr>
        <w:top w:val="none" w:sz="0" w:space="0" w:color="auto"/>
        <w:left w:val="none" w:sz="0" w:space="0" w:color="auto"/>
        <w:bottom w:val="none" w:sz="0" w:space="0" w:color="auto"/>
        <w:right w:val="none" w:sz="0" w:space="0" w:color="auto"/>
      </w:divBdr>
    </w:div>
    <w:div w:id="551430357">
      <w:bodyDiv w:val="1"/>
      <w:marLeft w:val="0"/>
      <w:marRight w:val="0"/>
      <w:marTop w:val="0"/>
      <w:marBottom w:val="0"/>
      <w:divBdr>
        <w:top w:val="none" w:sz="0" w:space="0" w:color="auto"/>
        <w:left w:val="none" w:sz="0" w:space="0" w:color="auto"/>
        <w:bottom w:val="none" w:sz="0" w:space="0" w:color="auto"/>
        <w:right w:val="none" w:sz="0" w:space="0" w:color="auto"/>
      </w:divBdr>
    </w:div>
    <w:div w:id="551624072">
      <w:bodyDiv w:val="1"/>
      <w:marLeft w:val="0"/>
      <w:marRight w:val="0"/>
      <w:marTop w:val="0"/>
      <w:marBottom w:val="0"/>
      <w:divBdr>
        <w:top w:val="none" w:sz="0" w:space="0" w:color="auto"/>
        <w:left w:val="none" w:sz="0" w:space="0" w:color="auto"/>
        <w:bottom w:val="none" w:sz="0" w:space="0" w:color="auto"/>
        <w:right w:val="none" w:sz="0" w:space="0" w:color="auto"/>
      </w:divBdr>
    </w:div>
    <w:div w:id="558903555">
      <w:bodyDiv w:val="1"/>
      <w:marLeft w:val="0"/>
      <w:marRight w:val="0"/>
      <w:marTop w:val="0"/>
      <w:marBottom w:val="0"/>
      <w:divBdr>
        <w:top w:val="none" w:sz="0" w:space="0" w:color="auto"/>
        <w:left w:val="none" w:sz="0" w:space="0" w:color="auto"/>
        <w:bottom w:val="none" w:sz="0" w:space="0" w:color="auto"/>
        <w:right w:val="none" w:sz="0" w:space="0" w:color="auto"/>
      </w:divBdr>
    </w:div>
    <w:div w:id="577256156">
      <w:bodyDiv w:val="1"/>
      <w:marLeft w:val="0"/>
      <w:marRight w:val="0"/>
      <w:marTop w:val="0"/>
      <w:marBottom w:val="0"/>
      <w:divBdr>
        <w:top w:val="none" w:sz="0" w:space="0" w:color="auto"/>
        <w:left w:val="none" w:sz="0" w:space="0" w:color="auto"/>
        <w:bottom w:val="none" w:sz="0" w:space="0" w:color="auto"/>
        <w:right w:val="none" w:sz="0" w:space="0" w:color="auto"/>
      </w:divBdr>
    </w:div>
    <w:div w:id="601688469">
      <w:bodyDiv w:val="1"/>
      <w:marLeft w:val="0"/>
      <w:marRight w:val="0"/>
      <w:marTop w:val="0"/>
      <w:marBottom w:val="0"/>
      <w:divBdr>
        <w:top w:val="none" w:sz="0" w:space="0" w:color="auto"/>
        <w:left w:val="none" w:sz="0" w:space="0" w:color="auto"/>
        <w:bottom w:val="none" w:sz="0" w:space="0" w:color="auto"/>
        <w:right w:val="none" w:sz="0" w:space="0" w:color="auto"/>
      </w:divBdr>
    </w:div>
    <w:div w:id="601760546">
      <w:bodyDiv w:val="1"/>
      <w:marLeft w:val="0"/>
      <w:marRight w:val="0"/>
      <w:marTop w:val="0"/>
      <w:marBottom w:val="0"/>
      <w:divBdr>
        <w:top w:val="none" w:sz="0" w:space="0" w:color="auto"/>
        <w:left w:val="none" w:sz="0" w:space="0" w:color="auto"/>
        <w:bottom w:val="none" w:sz="0" w:space="0" w:color="auto"/>
        <w:right w:val="none" w:sz="0" w:space="0" w:color="auto"/>
      </w:divBdr>
    </w:div>
    <w:div w:id="661546323">
      <w:bodyDiv w:val="1"/>
      <w:marLeft w:val="0"/>
      <w:marRight w:val="0"/>
      <w:marTop w:val="0"/>
      <w:marBottom w:val="0"/>
      <w:divBdr>
        <w:top w:val="none" w:sz="0" w:space="0" w:color="auto"/>
        <w:left w:val="none" w:sz="0" w:space="0" w:color="auto"/>
        <w:bottom w:val="none" w:sz="0" w:space="0" w:color="auto"/>
        <w:right w:val="none" w:sz="0" w:space="0" w:color="auto"/>
      </w:divBdr>
    </w:div>
    <w:div w:id="693843484">
      <w:bodyDiv w:val="1"/>
      <w:marLeft w:val="0"/>
      <w:marRight w:val="0"/>
      <w:marTop w:val="0"/>
      <w:marBottom w:val="0"/>
      <w:divBdr>
        <w:top w:val="none" w:sz="0" w:space="0" w:color="auto"/>
        <w:left w:val="none" w:sz="0" w:space="0" w:color="auto"/>
        <w:bottom w:val="none" w:sz="0" w:space="0" w:color="auto"/>
        <w:right w:val="none" w:sz="0" w:space="0" w:color="auto"/>
      </w:divBdr>
    </w:div>
    <w:div w:id="711617171">
      <w:bodyDiv w:val="1"/>
      <w:marLeft w:val="0"/>
      <w:marRight w:val="0"/>
      <w:marTop w:val="0"/>
      <w:marBottom w:val="0"/>
      <w:divBdr>
        <w:top w:val="none" w:sz="0" w:space="0" w:color="auto"/>
        <w:left w:val="none" w:sz="0" w:space="0" w:color="auto"/>
        <w:bottom w:val="none" w:sz="0" w:space="0" w:color="auto"/>
        <w:right w:val="none" w:sz="0" w:space="0" w:color="auto"/>
      </w:divBdr>
    </w:div>
    <w:div w:id="725646164">
      <w:bodyDiv w:val="1"/>
      <w:marLeft w:val="0"/>
      <w:marRight w:val="0"/>
      <w:marTop w:val="0"/>
      <w:marBottom w:val="0"/>
      <w:divBdr>
        <w:top w:val="none" w:sz="0" w:space="0" w:color="auto"/>
        <w:left w:val="none" w:sz="0" w:space="0" w:color="auto"/>
        <w:bottom w:val="none" w:sz="0" w:space="0" w:color="auto"/>
        <w:right w:val="none" w:sz="0" w:space="0" w:color="auto"/>
      </w:divBdr>
    </w:div>
    <w:div w:id="735324969">
      <w:bodyDiv w:val="1"/>
      <w:marLeft w:val="0"/>
      <w:marRight w:val="0"/>
      <w:marTop w:val="0"/>
      <w:marBottom w:val="0"/>
      <w:divBdr>
        <w:top w:val="none" w:sz="0" w:space="0" w:color="auto"/>
        <w:left w:val="none" w:sz="0" w:space="0" w:color="auto"/>
        <w:bottom w:val="none" w:sz="0" w:space="0" w:color="auto"/>
        <w:right w:val="none" w:sz="0" w:space="0" w:color="auto"/>
      </w:divBdr>
    </w:div>
    <w:div w:id="759327406">
      <w:bodyDiv w:val="1"/>
      <w:marLeft w:val="0"/>
      <w:marRight w:val="0"/>
      <w:marTop w:val="0"/>
      <w:marBottom w:val="0"/>
      <w:divBdr>
        <w:top w:val="none" w:sz="0" w:space="0" w:color="auto"/>
        <w:left w:val="none" w:sz="0" w:space="0" w:color="auto"/>
        <w:bottom w:val="none" w:sz="0" w:space="0" w:color="auto"/>
        <w:right w:val="none" w:sz="0" w:space="0" w:color="auto"/>
      </w:divBdr>
    </w:div>
    <w:div w:id="774136150">
      <w:bodyDiv w:val="1"/>
      <w:marLeft w:val="0"/>
      <w:marRight w:val="0"/>
      <w:marTop w:val="0"/>
      <w:marBottom w:val="0"/>
      <w:divBdr>
        <w:top w:val="none" w:sz="0" w:space="0" w:color="auto"/>
        <w:left w:val="none" w:sz="0" w:space="0" w:color="auto"/>
        <w:bottom w:val="none" w:sz="0" w:space="0" w:color="auto"/>
        <w:right w:val="none" w:sz="0" w:space="0" w:color="auto"/>
      </w:divBdr>
    </w:div>
    <w:div w:id="793522523">
      <w:bodyDiv w:val="1"/>
      <w:marLeft w:val="0"/>
      <w:marRight w:val="0"/>
      <w:marTop w:val="0"/>
      <w:marBottom w:val="0"/>
      <w:divBdr>
        <w:top w:val="none" w:sz="0" w:space="0" w:color="auto"/>
        <w:left w:val="none" w:sz="0" w:space="0" w:color="auto"/>
        <w:bottom w:val="none" w:sz="0" w:space="0" w:color="auto"/>
        <w:right w:val="none" w:sz="0" w:space="0" w:color="auto"/>
      </w:divBdr>
    </w:div>
    <w:div w:id="805780079">
      <w:bodyDiv w:val="1"/>
      <w:marLeft w:val="0"/>
      <w:marRight w:val="0"/>
      <w:marTop w:val="0"/>
      <w:marBottom w:val="0"/>
      <w:divBdr>
        <w:top w:val="none" w:sz="0" w:space="0" w:color="auto"/>
        <w:left w:val="none" w:sz="0" w:space="0" w:color="auto"/>
        <w:bottom w:val="none" w:sz="0" w:space="0" w:color="auto"/>
        <w:right w:val="none" w:sz="0" w:space="0" w:color="auto"/>
      </w:divBdr>
    </w:div>
    <w:div w:id="815144137">
      <w:bodyDiv w:val="1"/>
      <w:marLeft w:val="0"/>
      <w:marRight w:val="0"/>
      <w:marTop w:val="0"/>
      <w:marBottom w:val="0"/>
      <w:divBdr>
        <w:top w:val="none" w:sz="0" w:space="0" w:color="auto"/>
        <w:left w:val="none" w:sz="0" w:space="0" w:color="auto"/>
        <w:bottom w:val="none" w:sz="0" w:space="0" w:color="auto"/>
        <w:right w:val="none" w:sz="0" w:space="0" w:color="auto"/>
      </w:divBdr>
    </w:div>
    <w:div w:id="821116428">
      <w:bodyDiv w:val="1"/>
      <w:marLeft w:val="0"/>
      <w:marRight w:val="0"/>
      <w:marTop w:val="0"/>
      <w:marBottom w:val="0"/>
      <w:divBdr>
        <w:top w:val="none" w:sz="0" w:space="0" w:color="auto"/>
        <w:left w:val="none" w:sz="0" w:space="0" w:color="auto"/>
        <w:bottom w:val="none" w:sz="0" w:space="0" w:color="auto"/>
        <w:right w:val="none" w:sz="0" w:space="0" w:color="auto"/>
      </w:divBdr>
    </w:div>
    <w:div w:id="840923744">
      <w:bodyDiv w:val="1"/>
      <w:marLeft w:val="0"/>
      <w:marRight w:val="0"/>
      <w:marTop w:val="0"/>
      <w:marBottom w:val="0"/>
      <w:divBdr>
        <w:top w:val="none" w:sz="0" w:space="0" w:color="auto"/>
        <w:left w:val="none" w:sz="0" w:space="0" w:color="auto"/>
        <w:bottom w:val="none" w:sz="0" w:space="0" w:color="auto"/>
        <w:right w:val="none" w:sz="0" w:space="0" w:color="auto"/>
      </w:divBdr>
    </w:div>
    <w:div w:id="850800958">
      <w:bodyDiv w:val="1"/>
      <w:marLeft w:val="0"/>
      <w:marRight w:val="0"/>
      <w:marTop w:val="0"/>
      <w:marBottom w:val="0"/>
      <w:divBdr>
        <w:top w:val="none" w:sz="0" w:space="0" w:color="auto"/>
        <w:left w:val="none" w:sz="0" w:space="0" w:color="auto"/>
        <w:bottom w:val="none" w:sz="0" w:space="0" w:color="auto"/>
        <w:right w:val="none" w:sz="0" w:space="0" w:color="auto"/>
      </w:divBdr>
    </w:div>
    <w:div w:id="875238917">
      <w:bodyDiv w:val="1"/>
      <w:marLeft w:val="0"/>
      <w:marRight w:val="0"/>
      <w:marTop w:val="0"/>
      <w:marBottom w:val="0"/>
      <w:divBdr>
        <w:top w:val="none" w:sz="0" w:space="0" w:color="auto"/>
        <w:left w:val="none" w:sz="0" w:space="0" w:color="auto"/>
        <w:bottom w:val="none" w:sz="0" w:space="0" w:color="auto"/>
        <w:right w:val="none" w:sz="0" w:space="0" w:color="auto"/>
      </w:divBdr>
    </w:div>
    <w:div w:id="920067081">
      <w:bodyDiv w:val="1"/>
      <w:marLeft w:val="0"/>
      <w:marRight w:val="0"/>
      <w:marTop w:val="0"/>
      <w:marBottom w:val="0"/>
      <w:divBdr>
        <w:top w:val="none" w:sz="0" w:space="0" w:color="auto"/>
        <w:left w:val="none" w:sz="0" w:space="0" w:color="auto"/>
        <w:bottom w:val="none" w:sz="0" w:space="0" w:color="auto"/>
        <w:right w:val="none" w:sz="0" w:space="0" w:color="auto"/>
      </w:divBdr>
    </w:div>
    <w:div w:id="923876449">
      <w:bodyDiv w:val="1"/>
      <w:marLeft w:val="0"/>
      <w:marRight w:val="0"/>
      <w:marTop w:val="0"/>
      <w:marBottom w:val="0"/>
      <w:divBdr>
        <w:top w:val="none" w:sz="0" w:space="0" w:color="auto"/>
        <w:left w:val="none" w:sz="0" w:space="0" w:color="auto"/>
        <w:bottom w:val="none" w:sz="0" w:space="0" w:color="auto"/>
        <w:right w:val="none" w:sz="0" w:space="0" w:color="auto"/>
      </w:divBdr>
    </w:div>
    <w:div w:id="925185360">
      <w:bodyDiv w:val="1"/>
      <w:marLeft w:val="0"/>
      <w:marRight w:val="0"/>
      <w:marTop w:val="0"/>
      <w:marBottom w:val="0"/>
      <w:divBdr>
        <w:top w:val="none" w:sz="0" w:space="0" w:color="auto"/>
        <w:left w:val="none" w:sz="0" w:space="0" w:color="auto"/>
        <w:bottom w:val="none" w:sz="0" w:space="0" w:color="auto"/>
        <w:right w:val="none" w:sz="0" w:space="0" w:color="auto"/>
      </w:divBdr>
    </w:div>
    <w:div w:id="942028406">
      <w:bodyDiv w:val="1"/>
      <w:marLeft w:val="0"/>
      <w:marRight w:val="0"/>
      <w:marTop w:val="0"/>
      <w:marBottom w:val="0"/>
      <w:divBdr>
        <w:top w:val="none" w:sz="0" w:space="0" w:color="auto"/>
        <w:left w:val="none" w:sz="0" w:space="0" w:color="auto"/>
        <w:bottom w:val="none" w:sz="0" w:space="0" w:color="auto"/>
        <w:right w:val="none" w:sz="0" w:space="0" w:color="auto"/>
      </w:divBdr>
    </w:div>
    <w:div w:id="1034161957">
      <w:bodyDiv w:val="1"/>
      <w:marLeft w:val="0"/>
      <w:marRight w:val="0"/>
      <w:marTop w:val="0"/>
      <w:marBottom w:val="0"/>
      <w:divBdr>
        <w:top w:val="none" w:sz="0" w:space="0" w:color="auto"/>
        <w:left w:val="none" w:sz="0" w:space="0" w:color="auto"/>
        <w:bottom w:val="none" w:sz="0" w:space="0" w:color="auto"/>
        <w:right w:val="none" w:sz="0" w:space="0" w:color="auto"/>
      </w:divBdr>
    </w:div>
    <w:div w:id="1042095125">
      <w:bodyDiv w:val="1"/>
      <w:marLeft w:val="0"/>
      <w:marRight w:val="0"/>
      <w:marTop w:val="0"/>
      <w:marBottom w:val="0"/>
      <w:divBdr>
        <w:top w:val="none" w:sz="0" w:space="0" w:color="auto"/>
        <w:left w:val="none" w:sz="0" w:space="0" w:color="auto"/>
        <w:bottom w:val="none" w:sz="0" w:space="0" w:color="auto"/>
        <w:right w:val="none" w:sz="0" w:space="0" w:color="auto"/>
      </w:divBdr>
    </w:div>
    <w:div w:id="1045518277">
      <w:bodyDiv w:val="1"/>
      <w:marLeft w:val="0"/>
      <w:marRight w:val="0"/>
      <w:marTop w:val="0"/>
      <w:marBottom w:val="0"/>
      <w:divBdr>
        <w:top w:val="none" w:sz="0" w:space="0" w:color="auto"/>
        <w:left w:val="none" w:sz="0" w:space="0" w:color="auto"/>
        <w:bottom w:val="none" w:sz="0" w:space="0" w:color="auto"/>
        <w:right w:val="none" w:sz="0" w:space="0" w:color="auto"/>
      </w:divBdr>
    </w:div>
    <w:div w:id="1132359989">
      <w:bodyDiv w:val="1"/>
      <w:marLeft w:val="0"/>
      <w:marRight w:val="0"/>
      <w:marTop w:val="0"/>
      <w:marBottom w:val="0"/>
      <w:divBdr>
        <w:top w:val="none" w:sz="0" w:space="0" w:color="auto"/>
        <w:left w:val="none" w:sz="0" w:space="0" w:color="auto"/>
        <w:bottom w:val="none" w:sz="0" w:space="0" w:color="auto"/>
        <w:right w:val="none" w:sz="0" w:space="0" w:color="auto"/>
      </w:divBdr>
    </w:div>
    <w:div w:id="1174108357">
      <w:bodyDiv w:val="1"/>
      <w:marLeft w:val="0"/>
      <w:marRight w:val="0"/>
      <w:marTop w:val="0"/>
      <w:marBottom w:val="0"/>
      <w:divBdr>
        <w:top w:val="none" w:sz="0" w:space="0" w:color="auto"/>
        <w:left w:val="none" w:sz="0" w:space="0" w:color="auto"/>
        <w:bottom w:val="none" w:sz="0" w:space="0" w:color="auto"/>
        <w:right w:val="none" w:sz="0" w:space="0" w:color="auto"/>
      </w:divBdr>
    </w:div>
    <w:div w:id="1239369441">
      <w:bodyDiv w:val="1"/>
      <w:marLeft w:val="0"/>
      <w:marRight w:val="0"/>
      <w:marTop w:val="0"/>
      <w:marBottom w:val="0"/>
      <w:divBdr>
        <w:top w:val="none" w:sz="0" w:space="0" w:color="auto"/>
        <w:left w:val="none" w:sz="0" w:space="0" w:color="auto"/>
        <w:bottom w:val="none" w:sz="0" w:space="0" w:color="auto"/>
        <w:right w:val="none" w:sz="0" w:space="0" w:color="auto"/>
      </w:divBdr>
    </w:div>
    <w:div w:id="1252660720">
      <w:bodyDiv w:val="1"/>
      <w:marLeft w:val="0"/>
      <w:marRight w:val="0"/>
      <w:marTop w:val="0"/>
      <w:marBottom w:val="0"/>
      <w:divBdr>
        <w:top w:val="none" w:sz="0" w:space="0" w:color="auto"/>
        <w:left w:val="none" w:sz="0" w:space="0" w:color="auto"/>
        <w:bottom w:val="none" w:sz="0" w:space="0" w:color="auto"/>
        <w:right w:val="none" w:sz="0" w:space="0" w:color="auto"/>
      </w:divBdr>
    </w:div>
    <w:div w:id="1290478782">
      <w:bodyDiv w:val="1"/>
      <w:marLeft w:val="0"/>
      <w:marRight w:val="0"/>
      <w:marTop w:val="0"/>
      <w:marBottom w:val="0"/>
      <w:divBdr>
        <w:top w:val="none" w:sz="0" w:space="0" w:color="auto"/>
        <w:left w:val="none" w:sz="0" w:space="0" w:color="auto"/>
        <w:bottom w:val="none" w:sz="0" w:space="0" w:color="auto"/>
        <w:right w:val="none" w:sz="0" w:space="0" w:color="auto"/>
      </w:divBdr>
    </w:div>
    <w:div w:id="1295217890">
      <w:bodyDiv w:val="1"/>
      <w:marLeft w:val="0"/>
      <w:marRight w:val="0"/>
      <w:marTop w:val="0"/>
      <w:marBottom w:val="0"/>
      <w:divBdr>
        <w:top w:val="none" w:sz="0" w:space="0" w:color="auto"/>
        <w:left w:val="none" w:sz="0" w:space="0" w:color="auto"/>
        <w:bottom w:val="none" w:sz="0" w:space="0" w:color="auto"/>
        <w:right w:val="none" w:sz="0" w:space="0" w:color="auto"/>
      </w:divBdr>
    </w:div>
    <w:div w:id="1299451624">
      <w:bodyDiv w:val="1"/>
      <w:marLeft w:val="0"/>
      <w:marRight w:val="0"/>
      <w:marTop w:val="0"/>
      <w:marBottom w:val="0"/>
      <w:divBdr>
        <w:top w:val="none" w:sz="0" w:space="0" w:color="auto"/>
        <w:left w:val="none" w:sz="0" w:space="0" w:color="auto"/>
        <w:bottom w:val="none" w:sz="0" w:space="0" w:color="auto"/>
        <w:right w:val="none" w:sz="0" w:space="0" w:color="auto"/>
      </w:divBdr>
    </w:div>
    <w:div w:id="1351645073">
      <w:bodyDiv w:val="1"/>
      <w:marLeft w:val="0"/>
      <w:marRight w:val="0"/>
      <w:marTop w:val="0"/>
      <w:marBottom w:val="0"/>
      <w:divBdr>
        <w:top w:val="none" w:sz="0" w:space="0" w:color="auto"/>
        <w:left w:val="none" w:sz="0" w:space="0" w:color="auto"/>
        <w:bottom w:val="none" w:sz="0" w:space="0" w:color="auto"/>
        <w:right w:val="none" w:sz="0" w:space="0" w:color="auto"/>
      </w:divBdr>
    </w:div>
    <w:div w:id="1385564158">
      <w:bodyDiv w:val="1"/>
      <w:marLeft w:val="0"/>
      <w:marRight w:val="0"/>
      <w:marTop w:val="0"/>
      <w:marBottom w:val="0"/>
      <w:divBdr>
        <w:top w:val="none" w:sz="0" w:space="0" w:color="auto"/>
        <w:left w:val="none" w:sz="0" w:space="0" w:color="auto"/>
        <w:bottom w:val="none" w:sz="0" w:space="0" w:color="auto"/>
        <w:right w:val="none" w:sz="0" w:space="0" w:color="auto"/>
      </w:divBdr>
    </w:div>
    <w:div w:id="1429812164">
      <w:bodyDiv w:val="1"/>
      <w:marLeft w:val="0"/>
      <w:marRight w:val="0"/>
      <w:marTop w:val="0"/>
      <w:marBottom w:val="0"/>
      <w:divBdr>
        <w:top w:val="none" w:sz="0" w:space="0" w:color="auto"/>
        <w:left w:val="none" w:sz="0" w:space="0" w:color="auto"/>
        <w:bottom w:val="none" w:sz="0" w:space="0" w:color="auto"/>
        <w:right w:val="none" w:sz="0" w:space="0" w:color="auto"/>
      </w:divBdr>
    </w:div>
    <w:div w:id="1490754426">
      <w:bodyDiv w:val="1"/>
      <w:marLeft w:val="0"/>
      <w:marRight w:val="0"/>
      <w:marTop w:val="0"/>
      <w:marBottom w:val="0"/>
      <w:divBdr>
        <w:top w:val="none" w:sz="0" w:space="0" w:color="auto"/>
        <w:left w:val="none" w:sz="0" w:space="0" w:color="auto"/>
        <w:bottom w:val="none" w:sz="0" w:space="0" w:color="auto"/>
        <w:right w:val="none" w:sz="0" w:space="0" w:color="auto"/>
      </w:divBdr>
    </w:div>
    <w:div w:id="1509248820">
      <w:bodyDiv w:val="1"/>
      <w:marLeft w:val="0"/>
      <w:marRight w:val="0"/>
      <w:marTop w:val="0"/>
      <w:marBottom w:val="0"/>
      <w:divBdr>
        <w:top w:val="none" w:sz="0" w:space="0" w:color="auto"/>
        <w:left w:val="none" w:sz="0" w:space="0" w:color="auto"/>
        <w:bottom w:val="none" w:sz="0" w:space="0" w:color="auto"/>
        <w:right w:val="none" w:sz="0" w:space="0" w:color="auto"/>
      </w:divBdr>
    </w:div>
    <w:div w:id="1513955096">
      <w:bodyDiv w:val="1"/>
      <w:marLeft w:val="0"/>
      <w:marRight w:val="0"/>
      <w:marTop w:val="0"/>
      <w:marBottom w:val="0"/>
      <w:divBdr>
        <w:top w:val="none" w:sz="0" w:space="0" w:color="auto"/>
        <w:left w:val="none" w:sz="0" w:space="0" w:color="auto"/>
        <w:bottom w:val="none" w:sz="0" w:space="0" w:color="auto"/>
        <w:right w:val="none" w:sz="0" w:space="0" w:color="auto"/>
      </w:divBdr>
    </w:div>
    <w:div w:id="1523013917">
      <w:bodyDiv w:val="1"/>
      <w:marLeft w:val="0"/>
      <w:marRight w:val="0"/>
      <w:marTop w:val="0"/>
      <w:marBottom w:val="0"/>
      <w:divBdr>
        <w:top w:val="none" w:sz="0" w:space="0" w:color="auto"/>
        <w:left w:val="none" w:sz="0" w:space="0" w:color="auto"/>
        <w:bottom w:val="none" w:sz="0" w:space="0" w:color="auto"/>
        <w:right w:val="none" w:sz="0" w:space="0" w:color="auto"/>
      </w:divBdr>
    </w:div>
    <w:div w:id="1525242786">
      <w:bodyDiv w:val="1"/>
      <w:marLeft w:val="0"/>
      <w:marRight w:val="0"/>
      <w:marTop w:val="0"/>
      <w:marBottom w:val="0"/>
      <w:divBdr>
        <w:top w:val="none" w:sz="0" w:space="0" w:color="auto"/>
        <w:left w:val="none" w:sz="0" w:space="0" w:color="auto"/>
        <w:bottom w:val="none" w:sz="0" w:space="0" w:color="auto"/>
        <w:right w:val="none" w:sz="0" w:space="0" w:color="auto"/>
      </w:divBdr>
    </w:div>
    <w:div w:id="1563903333">
      <w:bodyDiv w:val="1"/>
      <w:marLeft w:val="0"/>
      <w:marRight w:val="0"/>
      <w:marTop w:val="0"/>
      <w:marBottom w:val="0"/>
      <w:divBdr>
        <w:top w:val="none" w:sz="0" w:space="0" w:color="auto"/>
        <w:left w:val="none" w:sz="0" w:space="0" w:color="auto"/>
        <w:bottom w:val="none" w:sz="0" w:space="0" w:color="auto"/>
        <w:right w:val="none" w:sz="0" w:space="0" w:color="auto"/>
      </w:divBdr>
    </w:div>
    <w:div w:id="1608080307">
      <w:bodyDiv w:val="1"/>
      <w:marLeft w:val="0"/>
      <w:marRight w:val="0"/>
      <w:marTop w:val="0"/>
      <w:marBottom w:val="0"/>
      <w:divBdr>
        <w:top w:val="none" w:sz="0" w:space="0" w:color="auto"/>
        <w:left w:val="none" w:sz="0" w:space="0" w:color="auto"/>
        <w:bottom w:val="none" w:sz="0" w:space="0" w:color="auto"/>
        <w:right w:val="none" w:sz="0" w:space="0" w:color="auto"/>
      </w:divBdr>
    </w:div>
    <w:div w:id="1626042285">
      <w:bodyDiv w:val="1"/>
      <w:marLeft w:val="0"/>
      <w:marRight w:val="0"/>
      <w:marTop w:val="0"/>
      <w:marBottom w:val="0"/>
      <w:divBdr>
        <w:top w:val="none" w:sz="0" w:space="0" w:color="auto"/>
        <w:left w:val="none" w:sz="0" w:space="0" w:color="auto"/>
        <w:bottom w:val="none" w:sz="0" w:space="0" w:color="auto"/>
        <w:right w:val="none" w:sz="0" w:space="0" w:color="auto"/>
      </w:divBdr>
    </w:div>
    <w:div w:id="1636716058">
      <w:bodyDiv w:val="1"/>
      <w:marLeft w:val="0"/>
      <w:marRight w:val="0"/>
      <w:marTop w:val="0"/>
      <w:marBottom w:val="0"/>
      <w:divBdr>
        <w:top w:val="none" w:sz="0" w:space="0" w:color="auto"/>
        <w:left w:val="none" w:sz="0" w:space="0" w:color="auto"/>
        <w:bottom w:val="none" w:sz="0" w:space="0" w:color="auto"/>
        <w:right w:val="none" w:sz="0" w:space="0" w:color="auto"/>
      </w:divBdr>
    </w:div>
    <w:div w:id="1679769802">
      <w:bodyDiv w:val="1"/>
      <w:marLeft w:val="0"/>
      <w:marRight w:val="0"/>
      <w:marTop w:val="0"/>
      <w:marBottom w:val="0"/>
      <w:divBdr>
        <w:top w:val="none" w:sz="0" w:space="0" w:color="auto"/>
        <w:left w:val="none" w:sz="0" w:space="0" w:color="auto"/>
        <w:bottom w:val="none" w:sz="0" w:space="0" w:color="auto"/>
        <w:right w:val="none" w:sz="0" w:space="0" w:color="auto"/>
      </w:divBdr>
    </w:div>
    <w:div w:id="1680817482">
      <w:bodyDiv w:val="1"/>
      <w:marLeft w:val="0"/>
      <w:marRight w:val="0"/>
      <w:marTop w:val="0"/>
      <w:marBottom w:val="0"/>
      <w:divBdr>
        <w:top w:val="none" w:sz="0" w:space="0" w:color="auto"/>
        <w:left w:val="none" w:sz="0" w:space="0" w:color="auto"/>
        <w:bottom w:val="none" w:sz="0" w:space="0" w:color="auto"/>
        <w:right w:val="none" w:sz="0" w:space="0" w:color="auto"/>
      </w:divBdr>
    </w:div>
    <w:div w:id="1720277310">
      <w:bodyDiv w:val="1"/>
      <w:marLeft w:val="0"/>
      <w:marRight w:val="0"/>
      <w:marTop w:val="0"/>
      <w:marBottom w:val="0"/>
      <w:divBdr>
        <w:top w:val="none" w:sz="0" w:space="0" w:color="auto"/>
        <w:left w:val="none" w:sz="0" w:space="0" w:color="auto"/>
        <w:bottom w:val="none" w:sz="0" w:space="0" w:color="auto"/>
        <w:right w:val="none" w:sz="0" w:space="0" w:color="auto"/>
      </w:divBdr>
    </w:div>
    <w:div w:id="1733845160">
      <w:bodyDiv w:val="1"/>
      <w:marLeft w:val="0"/>
      <w:marRight w:val="0"/>
      <w:marTop w:val="0"/>
      <w:marBottom w:val="0"/>
      <w:divBdr>
        <w:top w:val="none" w:sz="0" w:space="0" w:color="auto"/>
        <w:left w:val="none" w:sz="0" w:space="0" w:color="auto"/>
        <w:bottom w:val="none" w:sz="0" w:space="0" w:color="auto"/>
        <w:right w:val="none" w:sz="0" w:space="0" w:color="auto"/>
      </w:divBdr>
    </w:div>
    <w:div w:id="1739286491">
      <w:bodyDiv w:val="1"/>
      <w:marLeft w:val="0"/>
      <w:marRight w:val="0"/>
      <w:marTop w:val="0"/>
      <w:marBottom w:val="0"/>
      <w:divBdr>
        <w:top w:val="none" w:sz="0" w:space="0" w:color="auto"/>
        <w:left w:val="none" w:sz="0" w:space="0" w:color="auto"/>
        <w:bottom w:val="none" w:sz="0" w:space="0" w:color="auto"/>
        <w:right w:val="none" w:sz="0" w:space="0" w:color="auto"/>
      </w:divBdr>
    </w:div>
    <w:div w:id="1744525377">
      <w:bodyDiv w:val="1"/>
      <w:marLeft w:val="0"/>
      <w:marRight w:val="0"/>
      <w:marTop w:val="0"/>
      <w:marBottom w:val="0"/>
      <w:divBdr>
        <w:top w:val="none" w:sz="0" w:space="0" w:color="auto"/>
        <w:left w:val="none" w:sz="0" w:space="0" w:color="auto"/>
        <w:bottom w:val="none" w:sz="0" w:space="0" w:color="auto"/>
        <w:right w:val="none" w:sz="0" w:space="0" w:color="auto"/>
      </w:divBdr>
    </w:div>
    <w:div w:id="1790515588">
      <w:bodyDiv w:val="1"/>
      <w:marLeft w:val="0"/>
      <w:marRight w:val="0"/>
      <w:marTop w:val="0"/>
      <w:marBottom w:val="0"/>
      <w:divBdr>
        <w:top w:val="none" w:sz="0" w:space="0" w:color="auto"/>
        <w:left w:val="none" w:sz="0" w:space="0" w:color="auto"/>
        <w:bottom w:val="none" w:sz="0" w:space="0" w:color="auto"/>
        <w:right w:val="none" w:sz="0" w:space="0" w:color="auto"/>
      </w:divBdr>
    </w:div>
    <w:div w:id="1795633392">
      <w:bodyDiv w:val="1"/>
      <w:marLeft w:val="0"/>
      <w:marRight w:val="0"/>
      <w:marTop w:val="0"/>
      <w:marBottom w:val="0"/>
      <w:divBdr>
        <w:top w:val="none" w:sz="0" w:space="0" w:color="auto"/>
        <w:left w:val="none" w:sz="0" w:space="0" w:color="auto"/>
        <w:bottom w:val="none" w:sz="0" w:space="0" w:color="auto"/>
        <w:right w:val="none" w:sz="0" w:space="0" w:color="auto"/>
      </w:divBdr>
    </w:div>
    <w:div w:id="1812479584">
      <w:bodyDiv w:val="1"/>
      <w:marLeft w:val="0"/>
      <w:marRight w:val="0"/>
      <w:marTop w:val="0"/>
      <w:marBottom w:val="0"/>
      <w:divBdr>
        <w:top w:val="none" w:sz="0" w:space="0" w:color="auto"/>
        <w:left w:val="none" w:sz="0" w:space="0" w:color="auto"/>
        <w:bottom w:val="none" w:sz="0" w:space="0" w:color="auto"/>
        <w:right w:val="none" w:sz="0" w:space="0" w:color="auto"/>
      </w:divBdr>
    </w:div>
    <w:div w:id="1819223030">
      <w:bodyDiv w:val="1"/>
      <w:marLeft w:val="0"/>
      <w:marRight w:val="0"/>
      <w:marTop w:val="0"/>
      <w:marBottom w:val="0"/>
      <w:divBdr>
        <w:top w:val="none" w:sz="0" w:space="0" w:color="auto"/>
        <w:left w:val="none" w:sz="0" w:space="0" w:color="auto"/>
        <w:bottom w:val="none" w:sz="0" w:space="0" w:color="auto"/>
        <w:right w:val="none" w:sz="0" w:space="0" w:color="auto"/>
      </w:divBdr>
    </w:div>
    <w:div w:id="1824156534">
      <w:bodyDiv w:val="1"/>
      <w:marLeft w:val="0"/>
      <w:marRight w:val="0"/>
      <w:marTop w:val="0"/>
      <w:marBottom w:val="0"/>
      <w:divBdr>
        <w:top w:val="none" w:sz="0" w:space="0" w:color="auto"/>
        <w:left w:val="none" w:sz="0" w:space="0" w:color="auto"/>
        <w:bottom w:val="none" w:sz="0" w:space="0" w:color="auto"/>
        <w:right w:val="none" w:sz="0" w:space="0" w:color="auto"/>
      </w:divBdr>
    </w:div>
    <w:div w:id="1831478817">
      <w:bodyDiv w:val="1"/>
      <w:marLeft w:val="0"/>
      <w:marRight w:val="0"/>
      <w:marTop w:val="0"/>
      <w:marBottom w:val="0"/>
      <w:divBdr>
        <w:top w:val="none" w:sz="0" w:space="0" w:color="auto"/>
        <w:left w:val="none" w:sz="0" w:space="0" w:color="auto"/>
        <w:bottom w:val="none" w:sz="0" w:space="0" w:color="auto"/>
        <w:right w:val="none" w:sz="0" w:space="0" w:color="auto"/>
      </w:divBdr>
    </w:div>
    <w:div w:id="1852724218">
      <w:bodyDiv w:val="1"/>
      <w:marLeft w:val="0"/>
      <w:marRight w:val="0"/>
      <w:marTop w:val="0"/>
      <w:marBottom w:val="0"/>
      <w:divBdr>
        <w:top w:val="none" w:sz="0" w:space="0" w:color="auto"/>
        <w:left w:val="none" w:sz="0" w:space="0" w:color="auto"/>
        <w:bottom w:val="none" w:sz="0" w:space="0" w:color="auto"/>
        <w:right w:val="none" w:sz="0" w:space="0" w:color="auto"/>
      </w:divBdr>
    </w:div>
    <w:div w:id="1860701803">
      <w:bodyDiv w:val="1"/>
      <w:marLeft w:val="0"/>
      <w:marRight w:val="0"/>
      <w:marTop w:val="0"/>
      <w:marBottom w:val="0"/>
      <w:divBdr>
        <w:top w:val="none" w:sz="0" w:space="0" w:color="auto"/>
        <w:left w:val="none" w:sz="0" w:space="0" w:color="auto"/>
        <w:bottom w:val="none" w:sz="0" w:space="0" w:color="auto"/>
        <w:right w:val="none" w:sz="0" w:space="0" w:color="auto"/>
      </w:divBdr>
    </w:div>
    <w:div w:id="1909611849">
      <w:bodyDiv w:val="1"/>
      <w:marLeft w:val="0"/>
      <w:marRight w:val="0"/>
      <w:marTop w:val="0"/>
      <w:marBottom w:val="0"/>
      <w:divBdr>
        <w:top w:val="none" w:sz="0" w:space="0" w:color="auto"/>
        <w:left w:val="none" w:sz="0" w:space="0" w:color="auto"/>
        <w:bottom w:val="none" w:sz="0" w:space="0" w:color="auto"/>
        <w:right w:val="none" w:sz="0" w:space="0" w:color="auto"/>
      </w:divBdr>
    </w:div>
    <w:div w:id="1956019551">
      <w:bodyDiv w:val="1"/>
      <w:marLeft w:val="0"/>
      <w:marRight w:val="0"/>
      <w:marTop w:val="0"/>
      <w:marBottom w:val="0"/>
      <w:divBdr>
        <w:top w:val="none" w:sz="0" w:space="0" w:color="auto"/>
        <w:left w:val="none" w:sz="0" w:space="0" w:color="auto"/>
        <w:bottom w:val="none" w:sz="0" w:space="0" w:color="auto"/>
        <w:right w:val="none" w:sz="0" w:space="0" w:color="auto"/>
      </w:divBdr>
    </w:div>
    <w:div w:id="1981811261">
      <w:bodyDiv w:val="1"/>
      <w:marLeft w:val="0"/>
      <w:marRight w:val="0"/>
      <w:marTop w:val="0"/>
      <w:marBottom w:val="0"/>
      <w:divBdr>
        <w:top w:val="none" w:sz="0" w:space="0" w:color="auto"/>
        <w:left w:val="none" w:sz="0" w:space="0" w:color="auto"/>
        <w:bottom w:val="none" w:sz="0" w:space="0" w:color="auto"/>
        <w:right w:val="none" w:sz="0" w:space="0" w:color="auto"/>
      </w:divBdr>
    </w:div>
    <w:div w:id="1985960774">
      <w:bodyDiv w:val="1"/>
      <w:marLeft w:val="0"/>
      <w:marRight w:val="0"/>
      <w:marTop w:val="0"/>
      <w:marBottom w:val="0"/>
      <w:divBdr>
        <w:top w:val="none" w:sz="0" w:space="0" w:color="auto"/>
        <w:left w:val="none" w:sz="0" w:space="0" w:color="auto"/>
        <w:bottom w:val="none" w:sz="0" w:space="0" w:color="auto"/>
        <w:right w:val="none" w:sz="0" w:space="0" w:color="auto"/>
      </w:divBdr>
    </w:div>
    <w:div w:id="1993244289">
      <w:bodyDiv w:val="1"/>
      <w:marLeft w:val="0"/>
      <w:marRight w:val="0"/>
      <w:marTop w:val="0"/>
      <w:marBottom w:val="0"/>
      <w:divBdr>
        <w:top w:val="none" w:sz="0" w:space="0" w:color="auto"/>
        <w:left w:val="none" w:sz="0" w:space="0" w:color="auto"/>
        <w:bottom w:val="none" w:sz="0" w:space="0" w:color="auto"/>
        <w:right w:val="none" w:sz="0" w:space="0" w:color="auto"/>
      </w:divBdr>
    </w:div>
    <w:div w:id="1995186150">
      <w:bodyDiv w:val="1"/>
      <w:marLeft w:val="0"/>
      <w:marRight w:val="0"/>
      <w:marTop w:val="0"/>
      <w:marBottom w:val="0"/>
      <w:divBdr>
        <w:top w:val="none" w:sz="0" w:space="0" w:color="auto"/>
        <w:left w:val="none" w:sz="0" w:space="0" w:color="auto"/>
        <w:bottom w:val="none" w:sz="0" w:space="0" w:color="auto"/>
        <w:right w:val="none" w:sz="0" w:space="0" w:color="auto"/>
      </w:divBdr>
    </w:div>
    <w:div w:id="2002153854">
      <w:bodyDiv w:val="1"/>
      <w:marLeft w:val="0"/>
      <w:marRight w:val="0"/>
      <w:marTop w:val="0"/>
      <w:marBottom w:val="0"/>
      <w:divBdr>
        <w:top w:val="none" w:sz="0" w:space="0" w:color="auto"/>
        <w:left w:val="none" w:sz="0" w:space="0" w:color="auto"/>
        <w:bottom w:val="none" w:sz="0" w:space="0" w:color="auto"/>
        <w:right w:val="none" w:sz="0" w:space="0" w:color="auto"/>
      </w:divBdr>
    </w:div>
    <w:div w:id="2028410764">
      <w:bodyDiv w:val="1"/>
      <w:marLeft w:val="0"/>
      <w:marRight w:val="0"/>
      <w:marTop w:val="0"/>
      <w:marBottom w:val="0"/>
      <w:divBdr>
        <w:top w:val="none" w:sz="0" w:space="0" w:color="auto"/>
        <w:left w:val="none" w:sz="0" w:space="0" w:color="auto"/>
        <w:bottom w:val="none" w:sz="0" w:space="0" w:color="auto"/>
        <w:right w:val="none" w:sz="0" w:space="0" w:color="auto"/>
      </w:divBdr>
    </w:div>
    <w:div w:id="2081557308">
      <w:bodyDiv w:val="1"/>
      <w:marLeft w:val="0"/>
      <w:marRight w:val="0"/>
      <w:marTop w:val="0"/>
      <w:marBottom w:val="0"/>
      <w:divBdr>
        <w:top w:val="none" w:sz="0" w:space="0" w:color="auto"/>
        <w:left w:val="none" w:sz="0" w:space="0" w:color="auto"/>
        <w:bottom w:val="none" w:sz="0" w:space="0" w:color="auto"/>
        <w:right w:val="none" w:sz="0" w:space="0" w:color="auto"/>
      </w:divBdr>
    </w:div>
    <w:div w:id="2089379944">
      <w:bodyDiv w:val="1"/>
      <w:marLeft w:val="0"/>
      <w:marRight w:val="0"/>
      <w:marTop w:val="0"/>
      <w:marBottom w:val="0"/>
      <w:divBdr>
        <w:top w:val="none" w:sz="0" w:space="0" w:color="auto"/>
        <w:left w:val="none" w:sz="0" w:space="0" w:color="auto"/>
        <w:bottom w:val="none" w:sz="0" w:space="0" w:color="auto"/>
        <w:right w:val="none" w:sz="0" w:space="0" w:color="auto"/>
      </w:divBdr>
    </w:div>
    <w:div w:id="2105489227">
      <w:bodyDiv w:val="1"/>
      <w:marLeft w:val="0"/>
      <w:marRight w:val="0"/>
      <w:marTop w:val="0"/>
      <w:marBottom w:val="0"/>
      <w:divBdr>
        <w:top w:val="none" w:sz="0" w:space="0" w:color="auto"/>
        <w:left w:val="none" w:sz="0" w:space="0" w:color="auto"/>
        <w:bottom w:val="none" w:sz="0" w:space="0" w:color="auto"/>
        <w:right w:val="none" w:sz="0" w:space="0" w:color="auto"/>
      </w:divBdr>
    </w:div>
    <w:div w:id="21176003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Office_Excel____2.xlsx"/><Relationship Id="rId18" Type="http://schemas.openxmlformats.org/officeDocument/2006/relationships/chart" Target="charts/chart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Office_Excel____4.xlsx"/><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package" Target="embeddings/Microsoft_Office_Excel____10.xlsx"/><Relationship Id="rId10" Type="http://schemas.openxmlformats.org/officeDocument/2006/relationships/footer" Target="footer1.xml"/><Relationship Id="rId19" Type="http://schemas.openxmlformats.org/officeDocument/2006/relationships/chart" Target="charts/chart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8.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lang="zh-CN" sz="1400" b="1" i="0" u="none" strike="noStrike" kern="1200" spc="0" baseline="0">
                <a:solidFill>
                  <a:schemeClr val="tx1">
                    <a:lumMod val="65000"/>
                    <a:lumOff val="35000"/>
                  </a:schemeClr>
                </a:solidFill>
                <a:latin typeface="宋体" panose="02010600030101010101" charset="-122"/>
                <a:ea typeface="宋体" panose="02010600030101010101" charset="-122"/>
                <a:cs typeface="+mn-cs"/>
              </a:defRPr>
            </a:pPr>
            <a:r>
              <a:rPr lang="en-US" altLang="zh-CN" b="1">
                <a:solidFill>
                  <a:schemeClr val="bg2">
                    <a:lumMod val="25000"/>
                  </a:schemeClr>
                </a:solidFill>
                <a:latin typeface="宋体" panose="02010600030101010101" charset="-122"/>
                <a:ea typeface="宋体" panose="02010600030101010101" charset="-122"/>
              </a:rPr>
              <a:t>2019</a:t>
            </a:r>
            <a:r>
              <a:rPr lang="zh-CN" altLang="en-US" b="1">
                <a:solidFill>
                  <a:schemeClr val="bg2">
                    <a:lumMod val="25000"/>
                  </a:schemeClr>
                </a:solidFill>
                <a:latin typeface="宋体" panose="02010600030101010101" charset="-122"/>
                <a:ea typeface="宋体" panose="02010600030101010101" charset="-122"/>
              </a:rPr>
              <a:t>年</a:t>
            </a:r>
            <a:r>
              <a:rPr lang="en-US" altLang="zh-CN" b="1">
                <a:solidFill>
                  <a:schemeClr val="bg2">
                    <a:lumMod val="25000"/>
                  </a:schemeClr>
                </a:solidFill>
                <a:latin typeface="宋体" panose="02010600030101010101" charset="-122"/>
                <a:ea typeface="宋体" panose="02010600030101010101" charset="-122"/>
              </a:rPr>
              <a:t>1-9</a:t>
            </a:r>
            <a:r>
              <a:rPr lang="zh-CN" altLang="en-US" b="1">
                <a:solidFill>
                  <a:schemeClr val="bg2">
                    <a:lumMod val="25000"/>
                  </a:schemeClr>
                </a:solidFill>
                <a:latin typeface="宋体" panose="02010600030101010101" charset="-122"/>
                <a:ea typeface="宋体" panose="02010600030101010101" charset="-122"/>
              </a:rPr>
              <a:t>月和龙法院收结存总体同比情况</a:t>
            </a:r>
          </a:p>
        </c:rich>
      </c:tx>
      <c:spPr>
        <a:noFill/>
        <a:ln>
          <a:noFill/>
        </a:ln>
        <a:effectLst/>
      </c:spPr>
    </c:title>
    <c:plotArea>
      <c:layout/>
      <c:barChart>
        <c:barDir val="col"/>
        <c:grouping val="clustered"/>
        <c:ser>
          <c:idx val="0"/>
          <c:order val="0"/>
          <c:tx>
            <c:strRef>
              <c:f>Sheet1!$B$1</c:f>
              <c:strCache>
                <c:ptCount val="1"/>
                <c:pt idx="0">
                  <c:v>2018年1-9月</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zh-CN" sz="1050" b="0" i="0" u="none" strike="noStrike" kern="1200" baseline="0">
                    <a:solidFill>
                      <a:schemeClr val="accent1">
                        <a:lumMod val="7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旧存</c:v>
                </c:pt>
                <c:pt idx="1">
                  <c:v>新收</c:v>
                </c:pt>
                <c:pt idx="2">
                  <c:v>未结</c:v>
                </c:pt>
                <c:pt idx="3">
                  <c:v>已结</c:v>
                </c:pt>
              </c:strCache>
            </c:strRef>
          </c:cat>
          <c:val>
            <c:numRef>
              <c:f>Sheet1!$B$2:$B$5</c:f>
              <c:numCache>
                <c:formatCode>General</c:formatCode>
                <c:ptCount val="4"/>
                <c:pt idx="0">
                  <c:v>261</c:v>
                </c:pt>
                <c:pt idx="1">
                  <c:v>1465</c:v>
                </c:pt>
                <c:pt idx="2">
                  <c:v>381</c:v>
                </c:pt>
                <c:pt idx="3">
                  <c:v>1345</c:v>
                </c:pt>
              </c:numCache>
            </c:numRef>
          </c:val>
        </c:ser>
        <c:ser>
          <c:idx val="1"/>
          <c:order val="1"/>
          <c:tx>
            <c:strRef>
              <c:f>Sheet1!$C$1</c:f>
              <c:strCache>
                <c:ptCount val="1"/>
                <c:pt idx="0">
                  <c:v>2019年1-9月</c:v>
                </c:pt>
              </c:strCache>
            </c:strRef>
          </c:tx>
          <c:spPr>
            <a:solidFill>
              <a:schemeClr val="accent2"/>
            </a:solidFill>
            <a:ln>
              <a:noFill/>
            </a:ln>
            <a:effectLst/>
            <a:sp3d/>
          </c:spPr>
          <c:dLbls>
            <c:dLbl>
              <c:idx val="0"/>
              <c:layout>
                <c:manualLayout>
                  <c:x val="1.3173760256712881E-2"/>
                  <c:y val="-7.936507936507943E-3"/>
                </c:manualLayout>
              </c:layout>
              <c:dLblPos val="outEnd"/>
              <c:showVal val="1"/>
              <c:extLst>
                <c:ext xmlns:c15="http://schemas.microsoft.com/office/drawing/2012/chart" uri="{CE6537A1-D6FC-4f65-9D91-7224C49458BB}">
                  <c15:layout/>
                </c:ext>
              </c:extLst>
            </c:dLbl>
            <c:dLbl>
              <c:idx val="1"/>
              <c:layout>
                <c:manualLayout>
                  <c:x val="1.7203372834209682E-2"/>
                  <c:y val="-1.9841269841271061E-2"/>
                </c:manualLayout>
              </c:layout>
              <c:dLblPos val="outEnd"/>
              <c:showVal val="1"/>
              <c:extLst>
                <c:ext xmlns:c15="http://schemas.microsoft.com/office/drawing/2012/chart" uri="{CE6537A1-D6FC-4f65-9D91-7224C49458BB}">
                  <c15:layout/>
                </c:ext>
              </c:extLst>
            </c:dLbl>
            <c:dLbl>
              <c:idx val="2"/>
              <c:layout>
                <c:manualLayout>
                  <c:x val="1.4788674671480043E-2"/>
                  <c:y val="0"/>
                </c:manualLayout>
              </c:layout>
              <c:dLblPos val="outEnd"/>
              <c:showVal val="1"/>
              <c:extLst>
                <c:ext xmlns:c15="http://schemas.microsoft.com/office/drawing/2012/chart" uri="{CE6537A1-D6FC-4f65-9D91-7224C49458BB}">
                  <c15:layout/>
                </c:ext>
              </c:extLst>
            </c:dLbl>
            <c:dLbl>
              <c:idx val="3"/>
              <c:layout>
                <c:manualLayout>
                  <c:x val="2.6962618044837398E-2"/>
                  <c:y val="-7.936507936507943E-3"/>
                </c:manualLayout>
              </c:layout>
              <c:dLblPos val="outEnd"/>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50" b="0" i="0" u="none" strike="noStrike" kern="1200" baseline="0">
                    <a:solidFill>
                      <a:schemeClr val="accent2">
                        <a:lumMod val="7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noFill/>
                      <a:prstDash val="solid"/>
                      <a:round/>
                    </a:ln>
                    <a:effectLst/>
                  </c:spPr>
                </c15:leaderLines>
              </c:ext>
            </c:extLst>
          </c:dLbls>
          <c:cat>
            <c:strRef>
              <c:f>Sheet1!$A$2:$A$5</c:f>
              <c:strCache>
                <c:ptCount val="4"/>
                <c:pt idx="0">
                  <c:v>旧存</c:v>
                </c:pt>
                <c:pt idx="1">
                  <c:v>新收</c:v>
                </c:pt>
                <c:pt idx="2">
                  <c:v>未结</c:v>
                </c:pt>
                <c:pt idx="3">
                  <c:v>已结</c:v>
                </c:pt>
              </c:strCache>
            </c:strRef>
          </c:cat>
          <c:val>
            <c:numRef>
              <c:f>Sheet1!$C$2:$C$5</c:f>
              <c:numCache>
                <c:formatCode>General</c:formatCode>
                <c:ptCount val="4"/>
                <c:pt idx="0">
                  <c:v>338</c:v>
                </c:pt>
                <c:pt idx="1">
                  <c:v>1586</c:v>
                </c:pt>
                <c:pt idx="2">
                  <c:v>332</c:v>
                </c:pt>
                <c:pt idx="3">
                  <c:v>1592</c:v>
                </c:pt>
              </c:numCache>
            </c:numRef>
          </c:val>
        </c:ser>
        <c:dLbls>
          <c:showVal val="1"/>
        </c:dLbls>
        <c:axId val="142242560"/>
        <c:axId val="142244096"/>
      </c:barChart>
      <c:catAx>
        <c:axId val="142242560"/>
        <c:scaling>
          <c:orientation val="minMax"/>
        </c:scaling>
        <c:axPos val="b"/>
        <c:numFmt formatCode="General" sourceLinked="1"/>
        <c:maj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1100" b="0" i="0" u="none" strike="noStrike" kern="1200" baseline="0">
                <a:solidFill>
                  <a:srgbClr val="0070C0"/>
                </a:solidFill>
                <a:latin typeface="+mn-lt"/>
                <a:ea typeface="+mn-ea"/>
                <a:cs typeface="+mn-cs"/>
              </a:defRPr>
            </a:pPr>
            <a:endParaRPr lang="zh-CN"/>
          </a:p>
        </c:txPr>
        <c:crossAx val="142244096"/>
        <c:crosses val="autoZero"/>
        <c:auto val="1"/>
        <c:lblAlgn val="ctr"/>
        <c:lblOffset val="100"/>
      </c:catAx>
      <c:valAx>
        <c:axId val="142244096"/>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42242560"/>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lang="zh-CN" sz="1400" b="0" i="0" u="none" strike="noStrike" kern="1200" spc="0" baseline="0">
                <a:solidFill>
                  <a:schemeClr val="bg2">
                    <a:lumMod val="25000"/>
                  </a:schemeClr>
                </a:solidFill>
                <a:latin typeface="宋体" panose="02010600030101010101" charset="-122"/>
                <a:ea typeface="宋体" panose="02010600030101010101" charset="-122"/>
                <a:cs typeface="+mn-cs"/>
              </a:defRPr>
            </a:pPr>
            <a:r>
              <a:rPr lang="en-US" altLang="zh-CN" sz="1400" b="1">
                <a:solidFill>
                  <a:schemeClr val="bg2">
                    <a:lumMod val="25000"/>
                  </a:schemeClr>
                </a:solidFill>
                <a:latin typeface="宋体" panose="02010600030101010101" charset="-122"/>
                <a:ea typeface="宋体" panose="02010600030101010101" charset="-122"/>
              </a:rPr>
              <a:t>2019</a:t>
            </a:r>
            <a:r>
              <a:rPr lang="zh-CN" altLang="en-US" sz="1400" b="1">
                <a:solidFill>
                  <a:schemeClr val="bg2">
                    <a:lumMod val="25000"/>
                  </a:schemeClr>
                </a:solidFill>
                <a:latin typeface="宋体" panose="02010600030101010101" charset="-122"/>
                <a:ea typeface="宋体" panose="02010600030101010101" charset="-122"/>
              </a:rPr>
              <a:t>年</a:t>
            </a:r>
            <a:r>
              <a:rPr lang="en-US" altLang="zh-CN" sz="1400" b="1">
                <a:solidFill>
                  <a:schemeClr val="bg2">
                    <a:lumMod val="25000"/>
                  </a:schemeClr>
                </a:solidFill>
                <a:latin typeface="宋体" panose="02010600030101010101" charset="-122"/>
                <a:ea typeface="宋体" panose="02010600030101010101" charset="-122"/>
              </a:rPr>
              <a:t>1-9</a:t>
            </a:r>
            <a:r>
              <a:rPr lang="zh-CN" altLang="en-US" sz="1400" b="1">
                <a:solidFill>
                  <a:schemeClr val="bg2">
                    <a:lumMod val="25000"/>
                  </a:schemeClr>
                </a:solidFill>
                <a:latin typeface="宋体" panose="02010600030101010101" charset="-122"/>
                <a:ea typeface="宋体" panose="02010600030101010101" charset="-122"/>
              </a:rPr>
              <a:t>月和龙法院诉讼案件收结存同比情况</a:t>
            </a:r>
          </a:p>
        </c:rich>
      </c:tx>
      <c:spPr>
        <a:noFill/>
        <a:ln>
          <a:noFill/>
        </a:ln>
        <a:effectLst/>
      </c:spPr>
    </c:title>
    <c:plotArea>
      <c:layout/>
      <c:barChart>
        <c:barDir val="col"/>
        <c:grouping val="clustered"/>
        <c:ser>
          <c:idx val="0"/>
          <c:order val="0"/>
          <c:tx>
            <c:strRef>
              <c:f>Sheet1!$B$1</c:f>
              <c:strCache>
                <c:ptCount val="1"/>
                <c:pt idx="0">
                  <c:v>2018年1-9月</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lang="zh-CN" sz="1050" b="0" i="0" u="none" strike="noStrike" kern="1200" baseline="0">
                    <a:solidFill>
                      <a:srgbClr val="0070C0"/>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4"/>
                <c:pt idx="0">
                  <c:v>旧存</c:v>
                </c:pt>
                <c:pt idx="1">
                  <c:v>新收</c:v>
                </c:pt>
                <c:pt idx="2">
                  <c:v>未结</c:v>
                </c:pt>
                <c:pt idx="3">
                  <c:v>已结</c:v>
                </c:pt>
              </c:strCache>
            </c:strRef>
          </c:cat>
          <c:val>
            <c:numRef>
              <c:f>Sheet1!$B$2:$B$6</c:f>
              <c:numCache>
                <c:formatCode>General</c:formatCode>
                <c:ptCount val="5"/>
                <c:pt idx="0">
                  <c:v>80</c:v>
                </c:pt>
                <c:pt idx="1">
                  <c:v>968</c:v>
                </c:pt>
                <c:pt idx="2">
                  <c:v>206</c:v>
                </c:pt>
                <c:pt idx="3">
                  <c:v>842</c:v>
                </c:pt>
              </c:numCache>
            </c:numRef>
          </c:val>
        </c:ser>
        <c:ser>
          <c:idx val="1"/>
          <c:order val="1"/>
          <c:tx>
            <c:strRef>
              <c:f>Sheet1!$C$1</c:f>
              <c:strCache>
                <c:ptCount val="1"/>
                <c:pt idx="0">
                  <c:v>2019年1-9月</c:v>
                </c:pt>
              </c:strCache>
            </c:strRef>
          </c:tx>
          <c:spPr>
            <a:solidFill>
              <a:schemeClr val="accent2"/>
            </a:solidFill>
            <a:ln>
              <a:noFill/>
            </a:ln>
            <a:effectLst/>
            <a:sp3d/>
          </c:spPr>
          <c:dLbls>
            <c:dLbl>
              <c:idx val="0"/>
              <c:layout>
                <c:manualLayout>
                  <c:x val="2.7777777777783869E-2"/>
                  <c:y val="0"/>
                </c:manualLayout>
              </c:layout>
              <c:dLblPos val="outEnd"/>
              <c:showVal val="1"/>
              <c:extLst>
                <c:ext xmlns:c15="http://schemas.microsoft.com/office/drawing/2012/chart" uri="{CE6537A1-D6FC-4f65-9D91-7224C49458BB}">
                  <c15:layout/>
                </c:ext>
              </c:extLst>
            </c:dLbl>
            <c:dLbl>
              <c:idx val="1"/>
              <c:layout>
                <c:manualLayout>
                  <c:x val="3.4722222222222203E-2"/>
                  <c:y val="0"/>
                </c:manualLayout>
              </c:layout>
              <c:dLblPos val="outEnd"/>
              <c:showVal val="1"/>
              <c:extLst>
                <c:ext xmlns:c15="http://schemas.microsoft.com/office/drawing/2012/chart" uri="{CE6537A1-D6FC-4f65-9D91-7224C49458BB}">
                  <c15:layout/>
                </c:ext>
              </c:extLst>
            </c:dLbl>
            <c:dLbl>
              <c:idx val="2"/>
              <c:layout>
                <c:manualLayout>
                  <c:x val="3.2407407407413498E-2"/>
                  <c:y val="0"/>
                </c:manualLayout>
              </c:layout>
              <c:dLblPos val="outEnd"/>
              <c:showVal val="1"/>
              <c:extLst>
                <c:ext xmlns:c15="http://schemas.microsoft.com/office/drawing/2012/chart" uri="{CE6537A1-D6FC-4f65-9D91-7224C49458BB}">
                  <c15:layout/>
                </c:ext>
              </c:extLst>
            </c:dLbl>
            <c:dLbl>
              <c:idx val="3"/>
              <c:layout>
                <c:manualLayout>
                  <c:x val="3.2407407407413498E-2"/>
                  <c:y val="-1.1904761904761921E-2"/>
                </c:manualLayout>
              </c:layout>
              <c:dLblPos val="outEnd"/>
              <c:showVal val="1"/>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1050" b="0" i="0" u="none" strike="noStrike" kern="1200" baseline="0">
                    <a:solidFill>
                      <a:schemeClr val="accent2">
                        <a:lumMod val="7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Sheet1!$A$2:$A$6</c:f>
              <c:strCache>
                <c:ptCount val="4"/>
                <c:pt idx="0">
                  <c:v>旧存</c:v>
                </c:pt>
                <c:pt idx="1">
                  <c:v>新收</c:v>
                </c:pt>
                <c:pt idx="2">
                  <c:v>未结</c:v>
                </c:pt>
                <c:pt idx="3">
                  <c:v>已结</c:v>
                </c:pt>
              </c:strCache>
            </c:strRef>
          </c:cat>
          <c:val>
            <c:numRef>
              <c:f>Sheet1!$C$2:$C$6</c:f>
              <c:numCache>
                <c:formatCode>General</c:formatCode>
                <c:ptCount val="5"/>
                <c:pt idx="0">
                  <c:v>172</c:v>
                </c:pt>
                <c:pt idx="1">
                  <c:v>1086</c:v>
                </c:pt>
                <c:pt idx="2">
                  <c:v>205</c:v>
                </c:pt>
                <c:pt idx="3">
                  <c:v>1053</c:v>
                </c:pt>
              </c:numCache>
            </c:numRef>
          </c:val>
        </c:ser>
        <c:dLbls>
          <c:showVal val="1"/>
        </c:dLbls>
        <c:axId val="57458048"/>
        <c:axId val="145458304"/>
      </c:barChart>
      <c:catAx>
        <c:axId val="57458048"/>
        <c:scaling>
          <c:orientation val="minMax"/>
        </c:scaling>
        <c:axPos val="b"/>
        <c:numFmt formatCode="General" sourceLinked="1"/>
        <c:maj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1100" b="0" i="0" u="none" strike="noStrike" kern="1200" baseline="0">
                <a:solidFill>
                  <a:srgbClr val="0070C0"/>
                </a:solidFill>
                <a:latin typeface="+mn-lt"/>
                <a:ea typeface="+mn-ea"/>
                <a:cs typeface="+mn-cs"/>
              </a:defRPr>
            </a:pPr>
            <a:endParaRPr lang="zh-CN"/>
          </a:p>
        </c:txPr>
        <c:crossAx val="145458304"/>
        <c:crosses val="autoZero"/>
        <c:auto val="1"/>
        <c:lblAlgn val="ctr"/>
        <c:lblOffset val="100"/>
      </c:catAx>
      <c:valAx>
        <c:axId val="145458304"/>
        <c:scaling>
          <c:orientation val="minMax"/>
        </c:scaling>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57458048"/>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r>
              <a:rPr lang="en-US" altLang="zh-CN" sz="1400">
                <a:solidFill>
                  <a:schemeClr val="tx1"/>
                </a:solidFill>
                <a:latin typeface="宋体" panose="02010600030101010101" charset="-122"/>
                <a:ea typeface="宋体" panose="02010600030101010101" charset="-122"/>
              </a:rPr>
              <a:t>2019</a:t>
            </a:r>
            <a:r>
              <a:rPr lang="zh-CN" altLang="en-US" sz="1400">
                <a:solidFill>
                  <a:schemeClr val="tx1"/>
                </a:solidFill>
                <a:latin typeface="宋体" panose="02010600030101010101" charset="-122"/>
                <a:ea typeface="宋体" panose="02010600030101010101" charset="-122"/>
              </a:rPr>
              <a:t>年</a:t>
            </a:r>
            <a:r>
              <a:rPr lang="en-US" altLang="zh-CN" sz="1400">
                <a:solidFill>
                  <a:schemeClr val="tx1"/>
                </a:solidFill>
                <a:latin typeface="宋体" panose="02010600030101010101" charset="-122"/>
                <a:ea typeface="宋体" panose="02010600030101010101" charset="-122"/>
              </a:rPr>
              <a:t>1-9</a:t>
            </a:r>
            <a:r>
              <a:rPr lang="zh-CN" altLang="en-US" sz="1400">
                <a:solidFill>
                  <a:schemeClr val="tx1"/>
                </a:solidFill>
                <a:latin typeface="宋体" panose="02010600030101010101" charset="-122"/>
                <a:ea typeface="宋体" panose="02010600030101010101" charset="-122"/>
              </a:rPr>
              <a:t>月和龙法院新收民事案件案由分布情况</a:t>
            </a:r>
          </a:p>
        </c:rich>
      </c:tx>
      <c:layout>
        <c:manualLayout>
          <c:xMode val="edge"/>
          <c:yMode val="edge"/>
          <c:x val="0.1355678059536935"/>
          <c:y val="0"/>
        </c:manualLayout>
      </c:layout>
      <c:spPr>
        <a:noFill/>
        <a:ln>
          <a:noFill/>
        </a:ln>
        <a:effectLst/>
      </c:spPr>
    </c:title>
    <c:plotArea>
      <c:layout>
        <c:manualLayout>
          <c:layoutTarget val="inner"/>
          <c:xMode val="edge"/>
          <c:yMode val="edge"/>
          <c:x val="4.0449174834402586E-2"/>
          <c:y val="0.16861342624569589"/>
          <c:w val="0.82648864040838665"/>
          <c:h val="0.6766224978548796"/>
        </c:manualLayout>
      </c:layout>
      <c:ofPieChart>
        <c:ofPieType val="pie"/>
        <c:varyColors val="1"/>
        <c:ser>
          <c:idx val="0"/>
          <c:order val="0"/>
          <c:tx>
            <c:strRef>
              <c:f>Sheet1!$B$1</c:f>
              <c:strCache>
                <c:ptCount val="1"/>
                <c:pt idx="0">
                  <c:v>图10:2018年1-3月全州法院新收民事案件案由分布情况</c:v>
                </c:pt>
              </c:strCache>
            </c:strRef>
          </c:tx>
          <c:spPr>
            <a:scene3d>
              <a:camera prst="orthographicFront"/>
              <a:lightRig rig="threePt" dir="t">
                <a:rot lat="0" lon="0" rev="1800000"/>
              </a:lightRig>
            </a:scene3d>
            <a:sp3d>
              <a:bevelT/>
              <a:bevelB w="25400"/>
            </a:sp3d>
          </c:spPr>
          <c:dPt>
            <c:idx val="0"/>
            <c:spPr>
              <a:solidFill>
                <a:schemeClr val="accent1"/>
              </a:solidFill>
              <a:ln>
                <a:noFill/>
              </a:ln>
              <a:effectLst>
                <a:outerShdw blurRad="63500" sx="102000" sy="102000" algn="ctr" rotWithShape="0">
                  <a:prstClr val="black">
                    <a:alpha val="20000"/>
                  </a:prstClr>
                </a:outerShdw>
              </a:effectLst>
              <a:scene3d>
                <a:camera prst="orthographicFront"/>
                <a:lightRig rig="threePt" dir="t">
                  <a:rot lat="0" lon="0" rev="1800000"/>
                </a:lightRig>
              </a:scene3d>
              <a:sp3d>
                <a:bevelT/>
                <a:bevelB w="25400"/>
              </a:sp3d>
            </c:spPr>
          </c:dPt>
          <c:dPt>
            <c:idx val="1"/>
            <c:spPr>
              <a:solidFill>
                <a:schemeClr val="accent2"/>
              </a:solidFill>
              <a:ln>
                <a:noFill/>
              </a:ln>
              <a:effectLst>
                <a:outerShdw blurRad="63500" sx="102000" sy="102000" algn="ctr" rotWithShape="0">
                  <a:prstClr val="black">
                    <a:alpha val="20000"/>
                  </a:prstClr>
                </a:outerShdw>
              </a:effectLst>
              <a:scene3d>
                <a:camera prst="orthographicFront"/>
                <a:lightRig rig="threePt" dir="t">
                  <a:rot lat="0" lon="0" rev="1800000"/>
                </a:lightRig>
              </a:scene3d>
              <a:sp3d>
                <a:bevelT/>
                <a:bevelB w="25400"/>
              </a:sp3d>
            </c:spPr>
          </c:dPt>
          <c:dPt>
            <c:idx val="2"/>
            <c:spPr>
              <a:solidFill>
                <a:schemeClr val="accent3"/>
              </a:solidFill>
              <a:ln>
                <a:noFill/>
              </a:ln>
              <a:effectLst>
                <a:outerShdw blurRad="63500" sx="102000" sy="102000" algn="ctr" rotWithShape="0">
                  <a:prstClr val="black">
                    <a:alpha val="20000"/>
                  </a:prstClr>
                </a:outerShdw>
              </a:effectLst>
              <a:scene3d>
                <a:camera prst="orthographicFront"/>
                <a:lightRig rig="threePt" dir="t">
                  <a:rot lat="0" lon="0" rev="1800000"/>
                </a:lightRig>
              </a:scene3d>
              <a:sp3d>
                <a:bevelT/>
                <a:bevelB w="25400"/>
              </a:sp3d>
            </c:spPr>
          </c:dPt>
          <c:dPt>
            <c:idx val="3"/>
            <c:spPr>
              <a:solidFill>
                <a:schemeClr val="accent4"/>
              </a:solidFill>
              <a:ln>
                <a:noFill/>
              </a:ln>
              <a:effectLst>
                <a:outerShdw blurRad="63500" sx="102000" sy="102000" algn="ctr" rotWithShape="0">
                  <a:prstClr val="black">
                    <a:alpha val="20000"/>
                  </a:prstClr>
                </a:outerShdw>
              </a:effectLst>
              <a:scene3d>
                <a:camera prst="orthographicFront"/>
                <a:lightRig rig="threePt" dir="t">
                  <a:rot lat="0" lon="0" rev="1800000"/>
                </a:lightRig>
              </a:scene3d>
              <a:sp3d>
                <a:bevelT/>
                <a:bevelB w="25400"/>
              </a:sp3d>
            </c:spPr>
          </c:dPt>
          <c:dPt>
            <c:idx val="4"/>
            <c:spPr>
              <a:solidFill>
                <a:schemeClr val="accent5"/>
              </a:solidFill>
              <a:ln>
                <a:noFill/>
              </a:ln>
              <a:effectLst>
                <a:outerShdw blurRad="63500" sx="102000" sy="102000" algn="ctr" rotWithShape="0">
                  <a:prstClr val="black">
                    <a:alpha val="20000"/>
                  </a:prstClr>
                </a:outerShdw>
              </a:effectLst>
              <a:scene3d>
                <a:camera prst="orthographicFront"/>
                <a:lightRig rig="threePt" dir="t">
                  <a:rot lat="0" lon="0" rev="1800000"/>
                </a:lightRig>
              </a:scene3d>
              <a:sp3d>
                <a:bevelT/>
                <a:bevelB w="25400"/>
              </a:sp3d>
            </c:spPr>
          </c:dPt>
          <c:dPt>
            <c:idx val="5"/>
            <c:spPr>
              <a:solidFill>
                <a:srgbClr val="7030A0"/>
              </a:solidFill>
              <a:ln>
                <a:noFill/>
              </a:ln>
              <a:effectLst>
                <a:outerShdw blurRad="63500" sx="102000" sy="102000" algn="ctr" rotWithShape="0">
                  <a:prstClr val="black">
                    <a:alpha val="20000"/>
                  </a:prstClr>
                </a:outerShdw>
              </a:effectLst>
              <a:scene3d>
                <a:camera prst="orthographicFront"/>
                <a:lightRig rig="threePt" dir="t">
                  <a:rot lat="0" lon="0" rev="1800000"/>
                </a:lightRig>
              </a:scene3d>
              <a:sp3d>
                <a:bevelT/>
                <a:bevelB w="25400"/>
              </a:sp3d>
            </c:spPr>
          </c:dPt>
          <c:dPt>
            <c:idx val="6"/>
            <c:spPr>
              <a:solidFill>
                <a:schemeClr val="accent1">
                  <a:lumMod val="60000"/>
                </a:schemeClr>
              </a:solidFill>
              <a:ln>
                <a:noFill/>
              </a:ln>
              <a:effectLst>
                <a:outerShdw blurRad="63500" sx="102000" sy="102000" algn="ctr" rotWithShape="0">
                  <a:prstClr val="black">
                    <a:alpha val="20000"/>
                  </a:prstClr>
                </a:outerShdw>
              </a:effectLst>
              <a:scene3d>
                <a:camera prst="orthographicFront"/>
                <a:lightRig rig="threePt" dir="t">
                  <a:rot lat="0" lon="0" rev="1800000"/>
                </a:lightRig>
              </a:scene3d>
              <a:sp3d>
                <a:bevelT/>
                <a:bevelB w="25400"/>
              </a:sp3d>
            </c:spPr>
          </c:dPt>
          <c:dPt>
            <c:idx val="7"/>
            <c:spPr>
              <a:solidFill>
                <a:schemeClr val="accent2">
                  <a:lumMod val="60000"/>
                </a:schemeClr>
              </a:solidFill>
              <a:ln>
                <a:noFill/>
              </a:ln>
              <a:effectLst>
                <a:outerShdw blurRad="63500" sx="102000" sy="102000" algn="ctr" rotWithShape="0">
                  <a:prstClr val="black">
                    <a:alpha val="20000"/>
                  </a:prstClr>
                </a:outerShdw>
              </a:effectLst>
              <a:scene3d>
                <a:camera prst="orthographicFront"/>
                <a:lightRig rig="threePt" dir="t">
                  <a:rot lat="0" lon="0" rev="1800000"/>
                </a:lightRig>
              </a:scene3d>
              <a:sp3d>
                <a:bevelT/>
                <a:bevelB w="25400"/>
              </a:sp3d>
            </c:spPr>
          </c:dPt>
          <c:dPt>
            <c:idx val="8"/>
            <c:spPr>
              <a:solidFill>
                <a:schemeClr val="accent3">
                  <a:lumMod val="60000"/>
                </a:schemeClr>
              </a:solidFill>
              <a:ln>
                <a:noFill/>
              </a:ln>
              <a:effectLst>
                <a:outerShdw blurRad="63500" sx="102000" sy="102000" algn="ctr" rotWithShape="0">
                  <a:prstClr val="black">
                    <a:alpha val="20000"/>
                  </a:prstClr>
                </a:outerShdw>
              </a:effectLst>
              <a:scene3d>
                <a:camera prst="orthographicFront"/>
                <a:lightRig rig="threePt" dir="t">
                  <a:rot lat="0" lon="0" rev="1800000"/>
                </a:lightRig>
              </a:scene3d>
              <a:sp3d>
                <a:bevelT/>
                <a:bevelB w="25400"/>
              </a:sp3d>
            </c:spPr>
          </c:dPt>
          <c:dPt>
            <c:idx val="9"/>
            <c:spPr>
              <a:solidFill>
                <a:schemeClr val="accent4">
                  <a:lumMod val="60000"/>
                </a:schemeClr>
              </a:solidFill>
              <a:ln>
                <a:noFill/>
              </a:ln>
              <a:effectLst>
                <a:outerShdw blurRad="63500" sx="102000" sy="102000" algn="ctr" rotWithShape="0">
                  <a:prstClr val="black">
                    <a:alpha val="20000"/>
                  </a:prstClr>
                </a:outerShdw>
              </a:effectLst>
              <a:scene3d>
                <a:camera prst="orthographicFront"/>
                <a:lightRig rig="threePt" dir="t">
                  <a:rot lat="0" lon="0" rev="1800000"/>
                </a:lightRig>
              </a:scene3d>
              <a:sp3d>
                <a:bevelT/>
                <a:bevelB w="25400"/>
              </a:sp3d>
            </c:spPr>
          </c:dPt>
          <c:dPt>
            <c:idx val="10"/>
            <c:spPr>
              <a:solidFill>
                <a:schemeClr val="accent5">
                  <a:lumMod val="60000"/>
                </a:schemeClr>
              </a:solidFill>
              <a:ln>
                <a:noFill/>
              </a:ln>
              <a:effectLst>
                <a:outerShdw blurRad="63500" sx="102000" sy="102000" algn="ctr" rotWithShape="0">
                  <a:prstClr val="black">
                    <a:alpha val="20000"/>
                  </a:prstClr>
                </a:outerShdw>
              </a:effectLst>
              <a:scene3d>
                <a:camera prst="orthographicFront"/>
                <a:lightRig rig="threePt" dir="t">
                  <a:rot lat="0" lon="0" rev="1800000"/>
                </a:lightRig>
              </a:scene3d>
              <a:sp3d>
                <a:bevelT/>
                <a:bevelB w="25400"/>
              </a:sp3d>
            </c:spPr>
          </c:dPt>
          <c:dPt>
            <c:idx val="11"/>
            <c:spPr>
              <a:solidFill>
                <a:schemeClr val="accent6">
                  <a:lumMod val="60000"/>
                </a:schemeClr>
              </a:solidFill>
              <a:ln>
                <a:noFill/>
              </a:ln>
              <a:effectLst>
                <a:outerShdw blurRad="63500" sx="102000" sy="102000" algn="ctr" rotWithShape="0">
                  <a:prstClr val="black">
                    <a:alpha val="20000"/>
                  </a:prstClr>
                </a:outerShdw>
              </a:effectLst>
              <a:scene3d>
                <a:camera prst="orthographicFront"/>
                <a:lightRig rig="threePt" dir="t">
                  <a:rot lat="0" lon="0" rev="1800000"/>
                </a:lightRig>
              </a:scene3d>
              <a:sp3d>
                <a:bevelT/>
                <a:bevelB w="25400"/>
              </a:sp3d>
            </c:spPr>
          </c:dPt>
          <c:dLbls>
            <c:dLbl>
              <c:idx val="0"/>
              <c:layout>
                <c:manualLayout>
                  <c:x val="1.1025358324145541E-3"/>
                  <c:y val="-0.25010377601435296"/>
                </c:manualLayout>
              </c:layout>
              <c:showVal val="1"/>
              <c:showCatName val="1"/>
              <c:showPercent val="1"/>
            </c:dLbl>
            <c:dLbl>
              <c:idx val="1"/>
              <c:layout>
                <c:manualLayout>
                  <c:x val="1.4829541015201181E-3"/>
                  <c:y val="0.14534269960894264"/>
                </c:manualLayout>
              </c:layout>
              <c:showVal val="1"/>
              <c:showCatName val="1"/>
              <c:showPercent val="1"/>
            </c:dLbl>
            <c:dLbl>
              <c:idx val="2"/>
              <c:layout>
                <c:manualLayout>
                  <c:x val="1.241455347298788E-2"/>
                  <c:y val="-0.16003745145891851"/>
                </c:manualLayout>
              </c:layout>
              <c:showVal val="1"/>
              <c:showCatName val="1"/>
              <c:showPercent val="1"/>
            </c:dLbl>
            <c:dLbl>
              <c:idx val="3"/>
              <c:layout>
                <c:manualLayout>
                  <c:x val="0.17320264955855161"/>
                  <c:y val="-0.11318083290270978"/>
                </c:manualLayout>
              </c:layout>
              <c:showVal val="1"/>
              <c:showCatName val="1"/>
              <c:showPercent val="1"/>
            </c:dLbl>
            <c:dLbl>
              <c:idx val="4"/>
              <c:layout>
                <c:manualLayout>
                  <c:x val="3.3076074972436607E-2"/>
                  <c:y val="0.54825490868222349"/>
                </c:manualLayout>
              </c:layout>
              <c:showVal val="1"/>
              <c:showCatName val="1"/>
              <c:showPercent val="1"/>
            </c:dLbl>
            <c:numFmt formatCode="0.00%" sourceLinked="0"/>
            <c:showVal val="1"/>
            <c:showCatName val="1"/>
            <c:showPercent val="1"/>
            <c:showLeaderLines val="1"/>
          </c:dLbls>
          <c:cat>
            <c:strRef>
              <c:f>Sheet1!$A$2:$A$12</c:f>
              <c:strCache>
                <c:ptCount val="11"/>
                <c:pt idx="0">
                  <c:v>婚姻家庭、继承纠纷</c:v>
                </c:pt>
                <c:pt idx="1">
                  <c:v>侵权责任纠纷</c:v>
                </c:pt>
                <c:pt idx="2">
                  <c:v>物权纠纷</c:v>
                </c:pt>
                <c:pt idx="3">
                  <c:v>人格权纠纷</c:v>
                </c:pt>
                <c:pt idx="4">
                  <c:v>劳动争议、人事争议</c:v>
                </c:pt>
                <c:pt idx="5">
                  <c:v>其他</c:v>
                </c:pt>
                <c:pt idx="6">
                  <c:v>物业服务合同纠纷</c:v>
                </c:pt>
                <c:pt idx="7">
                  <c:v>劳务合同纠纷</c:v>
                </c:pt>
                <c:pt idx="8">
                  <c:v>买卖合同纠纷</c:v>
                </c:pt>
                <c:pt idx="9">
                  <c:v>民间借贷纠纷</c:v>
                </c:pt>
                <c:pt idx="10">
                  <c:v>金融借款合同纠纷</c:v>
                </c:pt>
              </c:strCache>
            </c:strRef>
          </c:cat>
          <c:val>
            <c:numRef>
              <c:f>Sheet1!$B$2:$B$12</c:f>
              <c:numCache>
                <c:formatCode>General</c:formatCode>
                <c:ptCount val="11"/>
                <c:pt idx="0">
                  <c:v>122</c:v>
                </c:pt>
                <c:pt idx="1">
                  <c:v>32</c:v>
                </c:pt>
                <c:pt idx="2">
                  <c:v>49</c:v>
                </c:pt>
                <c:pt idx="3">
                  <c:v>16</c:v>
                </c:pt>
                <c:pt idx="4">
                  <c:v>8</c:v>
                </c:pt>
                <c:pt idx="5">
                  <c:v>208</c:v>
                </c:pt>
                <c:pt idx="6">
                  <c:v>138</c:v>
                </c:pt>
                <c:pt idx="7">
                  <c:v>82</c:v>
                </c:pt>
                <c:pt idx="8">
                  <c:v>84</c:v>
                </c:pt>
                <c:pt idx="9">
                  <c:v>135</c:v>
                </c:pt>
                <c:pt idx="10">
                  <c:v>53</c:v>
                </c:pt>
              </c:numCache>
            </c:numRef>
          </c:val>
        </c:ser>
        <c:dLbls>
          <c:showCatName val="1"/>
        </c:dLbls>
        <c:gapWidth val="100"/>
        <c:splitType val="pos"/>
        <c:splitPos val="6"/>
        <c:secondPieSize val="75"/>
        <c:serLines>
          <c:spPr>
            <a:ln w="9525" cap="flat" cmpd="sng" algn="ctr">
              <a:solidFill>
                <a:schemeClr val="tx1">
                  <a:lumMod val="35000"/>
                  <a:lumOff val="65000"/>
                </a:schemeClr>
              </a:solidFill>
              <a:prstDash val="solid"/>
              <a:round/>
            </a:ln>
            <a:effectLst/>
          </c:spPr>
        </c:serLines>
      </c:ofPieChart>
      <c:spPr>
        <a:noFill/>
        <a:ln>
          <a:noFill/>
        </a:ln>
        <a:effectLst/>
      </c:spPr>
    </c:plotArea>
    <c:plotVisOnly val="1"/>
    <c:dispBlanksAs val="zero"/>
  </c:chart>
  <c:spPr>
    <a:solidFill>
      <a:schemeClr val="bg1"/>
    </a:solidFill>
    <a:ln w="9525" cap="flat" cmpd="sng" algn="ctr">
      <a:solidFill>
        <a:schemeClr val="tx1">
          <a:lumMod val="15000"/>
          <a:lumOff val="85000"/>
        </a:schemeClr>
      </a:solidFill>
      <a:prstDash val="solid"/>
      <a:round/>
    </a:ln>
    <a:effectLst/>
    <a:scene3d>
      <a:camera prst="orthographicFront"/>
      <a:lightRig rig="threePt" dir="t">
        <a:rot lat="0" lon="0" rev="0"/>
      </a:lightRig>
    </a:scene3d>
    <a:sp3d>
      <a:bevelT w="0" h="0"/>
      <a:bevelB w="0" h="0"/>
    </a:sp3d>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zh-CN" sz="1400">
                <a:latin typeface="宋体" pitchFamily="2" charset="-122"/>
                <a:ea typeface="宋体" pitchFamily="2" charset="-122"/>
              </a:rPr>
              <a:t>2019</a:t>
            </a:r>
            <a:r>
              <a:rPr lang="zh-CN" altLang="en-US" sz="1400">
                <a:latin typeface="宋体" pitchFamily="2" charset="-122"/>
                <a:ea typeface="宋体" pitchFamily="2" charset="-122"/>
              </a:rPr>
              <a:t>年</a:t>
            </a:r>
            <a:r>
              <a:rPr lang="en-US" altLang="zh-CN" sz="1400">
                <a:latin typeface="宋体" pitchFamily="2" charset="-122"/>
                <a:ea typeface="宋体" pitchFamily="2" charset="-122"/>
              </a:rPr>
              <a:t>1-9</a:t>
            </a:r>
            <a:r>
              <a:rPr lang="zh-CN" altLang="en-US" sz="1400">
                <a:latin typeface="宋体" pitchFamily="2" charset="-122"/>
                <a:ea typeface="宋体" pitchFamily="2" charset="-122"/>
              </a:rPr>
              <a:t>月和龙法院新收刑事案件罪名分布情况</a:t>
            </a:r>
          </a:p>
        </c:rich>
      </c:tx>
    </c:title>
    <c:plotArea>
      <c:layout/>
      <c:pieChart>
        <c:varyColors val="1"/>
        <c:ser>
          <c:idx val="0"/>
          <c:order val="0"/>
          <c:tx>
            <c:strRef>
              <c:f>Sheet1!$B$1</c:f>
              <c:strCache>
                <c:ptCount val="1"/>
                <c:pt idx="0">
                  <c:v>图10:2019年1-3月和龙法院新收刑事案件罪名分布情况</c:v>
                </c:pt>
              </c:strCache>
            </c:strRef>
          </c:tx>
          <c:dLbls>
            <c:dLbl>
              <c:idx val="0"/>
              <c:layout>
                <c:manualLayout>
                  <c:x val="-9.4365430883640244E-2"/>
                  <c:y val="0.12875203099612742"/>
                </c:manualLayout>
              </c:layout>
              <c:showVal val="1"/>
              <c:showCatName val="1"/>
              <c:showPercent val="1"/>
            </c:dLbl>
            <c:dLbl>
              <c:idx val="1"/>
              <c:layout>
                <c:manualLayout>
                  <c:x val="4.580417031204433E-3"/>
                  <c:y val="-2.5964254468191478E-2"/>
                </c:manualLayout>
              </c:layout>
              <c:showVal val="1"/>
              <c:showCatName val="1"/>
              <c:showPercent val="1"/>
            </c:dLbl>
            <c:dLbl>
              <c:idx val="2"/>
              <c:layout>
                <c:manualLayout>
                  <c:x val="-9.885544254885166E-2"/>
                  <c:y val="-4.4983127109112113E-2"/>
                </c:manualLayout>
              </c:layout>
              <c:showVal val="1"/>
              <c:showCatName val="1"/>
              <c:showPercent val="1"/>
            </c:dLbl>
            <c:dLbl>
              <c:idx val="3"/>
              <c:layout>
                <c:manualLayout>
                  <c:x val="-1.1703029308836708E-2"/>
                  <c:y val="-8.9920947381578728E-2"/>
                </c:manualLayout>
              </c:layout>
              <c:showVal val="1"/>
              <c:showCatName val="1"/>
              <c:showPercent val="1"/>
            </c:dLbl>
            <c:dLbl>
              <c:idx val="5"/>
              <c:layout>
                <c:manualLayout>
                  <c:x val="-7.7989209682122734E-3"/>
                  <c:y val="0.12698412698412698"/>
                </c:manualLayout>
              </c:layout>
              <c:showVal val="1"/>
              <c:showCatName val="1"/>
              <c:showPercent val="1"/>
            </c:dLbl>
            <c:numFmt formatCode="0.00%" sourceLinked="0"/>
            <c:showVal val="1"/>
            <c:showCatName val="1"/>
            <c:showPercent val="1"/>
            <c:showLeaderLines val="1"/>
          </c:dLbls>
          <c:cat>
            <c:strRef>
              <c:f>Sheet1!$A$2:$A$8</c:f>
              <c:strCache>
                <c:ptCount val="7"/>
                <c:pt idx="0">
                  <c:v>危害公共安全罪</c:v>
                </c:pt>
                <c:pt idx="1">
                  <c:v>贪污贿赂罪</c:v>
                </c:pt>
                <c:pt idx="2">
                  <c:v>侵犯公民人身权利、民主权利罪</c:v>
                </c:pt>
                <c:pt idx="3">
                  <c:v>妨害社会管理秩序罪</c:v>
                </c:pt>
                <c:pt idx="4">
                  <c:v>侵犯财产罪</c:v>
                </c:pt>
                <c:pt idx="5">
                  <c:v>破坏社会主义市场经济秩序罪</c:v>
                </c:pt>
                <c:pt idx="6">
                  <c:v>渎职罪</c:v>
                </c:pt>
              </c:strCache>
            </c:strRef>
          </c:cat>
          <c:val>
            <c:numRef>
              <c:f>Sheet1!$B$2:$B$8</c:f>
              <c:numCache>
                <c:formatCode>General</c:formatCode>
                <c:ptCount val="7"/>
                <c:pt idx="0">
                  <c:v>23</c:v>
                </c:pt>
                <c:pt idx="1">
                  <c:v>1</c:v>
                </c:pt>
                <c:pt idx="2">
                  <c:v>8</c:v>
                </c:pt>
                <c:pt idx="3">
                  <c:v>26</c:v>
                </c:pt>
                <c:pt idx="4">
                  <c:v>22</c:v>
                </c:pt>
                <c:pt idx="5">
                  <c:v>7</c:v>
                </c:pt>
                <c:pt idx="6">
                  <c:v>1</c:v>
                </c:pt>
              </c:numCache>
            </c:numRef>
          </c:val>
        </c:ser>
        <c:firstSliceAng val="0"/>
      </c:pieChart>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zh-CN" sz="1400" b="0" i="0" baseline="0">
                <a:latin typeface="宋体" pitchFamily="2" charset="-122"/>
                <a:ea typeface="宋体" pitchFamily="2" charset="-122"/>
              </a:rPr>
              <a:t>2019</a:t>
            </a:r>
            <a:r>
              <a:rPr lang="zh-CN" altLang="zh-CN" sz="1400" b="0" i="0" baseline="0">
                <a:latin typeface="宋体" pitchFamily="2" charset="-122"/>
                <a:ea typeface="宋体" pitchFamily="2" charset="-122"/>
              </a:rPr>
              <a:t>年</a:t>
            </a:r>
            <a:r>
              <a:rPr lang="en-US" altLang="zh-CN" sz="1400" b="0" i="0" baseline="0">
                <a:latin typeface="宋体" pitchFamily="2" charset="-122"/>
                <a:ea typeface="宋体" pitchFamily="2" charset="-122"/>
              </a:rPr>
              <a:t>1-9</a:t>
            </a:r>
            <a:r>
              <a:rPr lang="zh-CN" altLang="zh-CN" sz="1400" b="0" i="0" baseline="0">
                <a:latin typeface="宋体" pitchFamily="2" charset="-122"/>
                <a:ea typeface="宋体" pitchFamily="2" charset="-122"/>
              </a:rPr>
              <a:t>月</a:t>
            </a:r>
            <a:r>
              <a:rPr lang="zh-CN" altLang="en-US" sz="1400" b="0" i="0" baseline="0">
                <a:latin typeface="宋体" pitchFamily="2" charset="-122"/>
                <a:ea typeface="宋体" pitchFamily="2" charset="-122"/>
              </a:rPr>
              <a:t>审结</a:t>
            </a:r>
            <a:r>
              <a:rPr lang="zh-CN" altLang="zh-CN" sz="1400" b="0" i="0" baseline="0">
                <a:latin typeface="宋体" pitchFamily="2" charset="-122"/>
                <a:ea typeface="宋体" pitchFamily="2" charset="-122"/>
              </a:rPr>
              <a:t>诉讼案件类型分布</a:t>
            </a:r>
            <a:endParaRPr lang="zh-CN" altLang="zh-CN" sz="1400" b="0">
              <a:latin typeface="宋体" pitchFamily="2" charset="-122"/>
              <a:ea typeface="宋体" pitchFamily="2" charset="-122"/>
            </a:endParaRPr>
          </a:p>
        </c:rich>
      </c:tx>
      <c:layout>
        <c:manualLayout>
          <c:xMode val="edge"/>
          <c:yMode val="edge"/>
          <c:x val="0.23533043760817984"/>
          <c:y val="2.5791120421353415E-2"/>
        </c:manualLayout>
      </c:layout>
    </c:title>
    <c:plotArea>
      <c:layout/>
      <c:pieChart>
        <c:varyColors val="1"/>
        <c:ser>
          <c:idx val="0"/>
          <c:order val="0"/>
          <c:tx>
            <c:strRef>
              <c:f>Sheet1!$B$1</c:f>
              <c:strCache>
                <c:ptCount val="1"/>
                <c:pt idx="0">
                  <c:v>销售额</c:v>
                </c:pt>
              </c:strCache>
            </c:strRef>
          </c:tx>
          <c:dLbls>
            <c:dLbl>
              <c:idx val="0"/>
              <c:layout>
                <c:manualLayout>
                  <c:x val="2.8442285035605554E-2"/>
                  <c:y val="0.20494159366017481"/>
                </c:manualLayout>
              </c:layout>
              <c:showVal val="1"/>
              <c:showCatName val="1"/>
              <c:showPercent val="1"/>
            </c:dLbl>
            <c:dLbl>
              <c:idx val="2"/>
              <c:layout>
                <c:manualLayout>
                  <c:x val="-7.9749082645443933E-2"/>
                  <c:y val="0.21328299935856496"/>
                </c:manualLayout>
              </c:layout>
              <c:showVal val="1"/>
              <c:showCatName val="1"/>
              <c:showPercent val="1"/>
            </c:dLbl>
            <c:dLbl>
              <c:idx val="3"/>
              <c:layout>
                <c:manualLayout>
                  <c:x val="-0.11561642704387774"/>
                  <c:y val="7.7867328130812194E-2"/>
                </c:manualLayout>
              </c:layout>
              <c:showVal val="1"/>
              <c:showCatName val="1"/>
              <c:showPercent val="1"/>
            </c:dLbl>
            <c:dLbl>
              <c:idx val="4"/>
              <c:layout>
                <c:manualLayout>
                  <c:x val="0.1133142578870112"/>
                  <c:y val="7.5306744143039298E-2"/>
                </c:manualLayout>
              </c:layout>
              <c:showVal val="1"/>
              <c:showCatName val="1"/>
              <c:showPercent val="1"/>
            </c:dLbl>
            <c:numFmt formatCode="0.00%" sourceLinked="0"/>
            <c:showVal val="1"/>
            <c:showCatName val="1"/>
            <c:showPercent val="1"/>
            <c:showLeaderLines val="1"/>
          </c:dLbls>
          <c:cat>
            <c:strRef>
              <c:f>Sheet1!$A$2:$A$6</c:f>
              <c:strCache>
                <c:ptCount val="5"/>
                <c:pt idx="0">
                  <c:v>刑事</c:v>
                </c:pt>
                <c:pt idx="1">
                  <c:v>民事</c:v>
                </c:pt>
                <c:pt idx="2">
                  <c:v>行政</c:v>
                </c:pt>
                <c:pt idx="3">
                  <c:v>国家赔偿与司法救助</c:v>
                </c:pt>
                <c:pt idx="4">
                  <c:v>强制清算与破产</c:v>
                </c:pt>
              </c:strCache>
            </c:strRef>
          </c:cat>
          <c:val>
            <c:numRef>
              <c:f>Sheet1!$B$2:$B$6</c:f>
              <c:numCache>
                <c:formatCode>General</c:formatCode>
                <c:ptCount val="5"/>
                <c:pt idx="0">
                  <c:v>89</c:v>
                </c:pt>
                <c:pt idx="1">
                  <c:v>907</c:v>
                </c:pt>
                <c:pt idx="2">
                  <c:v>50</c:v>
                </c:pt>
                <c:pt idx="3">
                  <c:v>4</c:v>
                </c:pt>
                <c:pt idx="4">
                  <c:v>3</c:v>
                </c:pt>
              </c:numCache>
            </c:numRef>
          </c:val>
        </c:ser>
        <c:firstSliceAng val="0"/>
      </c:pie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1" vertOverflow="ellipsis" vert="horz" wrap="square" anchor="ctr" anchorCtr="1"/>
          <a:lstStyle/>
          <a:p>
            <a:pPr>
              <a:defRPr lang="zh-CN" sz="1400" b="1" i="0" u="none" strike="noStrike" kern="1200" cap="all" baseline="0">
                <a:solidFill>
                  <a:schemeClr val="tx1">
                    <a:lumMod val="65000"/>
                    <a:lumOff val="35000"/>
                  </a:schemeClr>
                </a:solidFill>
                <a:latin typeface="宋体" panose="02010600030101010101" charset="-122"/>
                <a:ea typeface="宋体" panose="02010600030101010101" charset="-122"/>
                <a:cs typeface="+mn-cs"/>
              </a:defRPr>
            </a:pPr>
            <a:r>
              <a:rPr lang="en-US" altLang="zh-CN" sz="1200">
                <a:solidFill>
                  <a:schemeClr val="tx1"/>
                </a:solidFill>
              </a:rPr>
              <a:t>2019</a:t>
            </a:r>
            <a:r>
              <a:rPr lang="zh-CN" altLang="en-US" sz="1200">
                <a:solidFill>
                  <a:schemeClr val="tx1"/>
                </a:solidFill>
              </a:rPr>
              <a:t>年</a:t>
            </a:r>
            <a:r>
              <a:rPr lang="en-US" altLang="zh-CN" sz="1200">
                <a:solidFill>
                  <a:schemeClr val="tx1"/>
                </a:solidFill>
              </a:rPr>
              <a:t>1-9</a:t>
            </a:r>
            <a:r>
              <a:rPr lang="zh-CN" altLang="en-US" sz="1200">
                <a:solidFill>
                  <a:schemeClr val="tx1"/>
                </a:solidFill>
              </a:rPr>
              <a:t>月和龙法院审结民事案件案由分布情况</a:t>
            </a:r>
          </a:p>
        </c:rich>
      </c:tx>
      <c:layout>
        <c:manualLayout>
          <c:xMode val="edge"/>
          <c:yMode val="edge"/>
          <c:x val="0.23249020661104094"/>
          <c:y val="0"/>
        </c:manualLayout>
      </c:layout>
      <c:spPr>
        <a:noFill/>
        <a:ln>
          <a:noFill/>
        </a:ln>
        <a:effectLst/>
      </c:spPr>
    </c:title>
    <c:plotArea>
      <c:layout>
        <c:manualLayout>
          <c:layoutTarget val="inner"/>
          <c:xMode val="edge"/>
          <c:yMode val="edge"/>
          <c:x val="8.5292405021780204E-2"/>
          <c:y val="0.15393978603633973"/>
          <c:w val="0.82941518995643138"/>
          <c:h val="0.73318622390868471"/>
        </c:manualLayout>
      </c:layout>
      <c:ofPieChart>
        <c:ofPieType val="pie"/>
        <c:varyColors val="1"/>
        <c:ser>
          <c:idx val="0"/>
          <c:order val="0"/>
          <c:tx>
            <c:strRef>
              <c:f>Sheet1!$B$1</c:f>
              <c:strCache>
                <c:ptCount val="1"/>
                <c:pt idx="0">
                  <c:v>图17:2018年1-9月全州法院审结刑事案件罪名分布情况</c:v>
                </c:pt>
              </c:strCache>
            </c:strRef>
          </c:tx>
          <c:spPr>
            <a:scene3d>
              <a:camera prst="orthographicFront"/>
              <a:lightRig rig="threePt" dir="t"/>
            </a:scene3d>
            <a:sp3d>
              <a:bevelT/>
              <a:bevelB w="38100"/>
            </a:sp3d>
          </c:spPr>
          <c:dPt>
            <c:idx val="0"/>
            <c:spPr>
              <a:solidFill>
                <a:schemeClr val="accent1"/>
              </a:solidFill>
              <a:ln>
                <a:noFill/>
              </a:ln>
              <a:effectLst>
                <a:outerShdw blurRad="63500" sx="102000" sy="102000" algn="ctr" rotWithShape="0">
                  <a:prstClr val="black">
                    <a:alpha val="20000"/>
                  </a:prstClr>
                </a:outerShdw>
              </a:effectLst>
              <a:scene3d>
                <a:camera prst="orthographicFront"/>
                <a:lightRig rig="threePt" dir="t"/>
              </a:scene3d>
              <a:sp3d>
                <a:bevelT/>
                <a:bevelB w="38100"/>
              </a:sp3d>
            </c:spPr>
          </c:dPt>
          <c:dPt>
            <c:idx val="1"/>
            <c:spPr>
              <a:solidFill>
                <a:schemeClr val="accent2"/>
              </a:solidFill>
              <a:ln>
                <a:noFill/>
              </a:ln>
              <a:effectLst>
                <a:outerShdw blurRad="63500" sx="102000" sy="102000" algn="ctr" rotWithShape="0">
                  <a:prstClr val="black">
                    <a:alpha val="20000"/>
                  </a:prstClr>
                </a:outerShdw>
              </a:effectLst>
              <a:scene3d>
                <a:camera prst="orthographicFront"/>
                <a:lightRig rig="threePt" dir="t"/>
              </a:scene3d>
              <a:sp3d>
                <a:bevelT/>
                <a:bevelB w="38100"/>
              </a:sp3d>
            </c:spPr>
          </c:dPt>
          <c:dPt>
            <c:idx val="2"/>
            <c:spPr>
              <a:solidFill>
                <a:schemeClr val="accent3"/>
              </a:solidFill>
              <a:ln>
                <a:noFill/>
              </a:ln>
              <a:effectLst>
                <a:outerShdw blurRad="63500" sx="102000" sy="102000" algn="ctr" rotWithShape="0">
                  <a:prstClr val="black">
                    <a:alpha val="20000"/>
                  </a:prstClr>
                </a:outerShdw>
              </a:effectLst>
              <a:scene3d>
                <a:camera prst="orthographicFront"/>
                <a:lightRig rig="threePt" dir="t"/>
              </a:scene3d>
              <a:sp3d>
                <a:bevelT/>
                <a:bevelB w="38100"/>
              </a:sp3d>
            </c:spPr>
          </c:dPt>
          <c:dPt>
            <c:idx val="3"/>
            <c:spPr>
              <a:solidFill>
                <a:schemeClr val="accent4"/>
              </a:solidFill>
              <a:ln>
                <a:noFill/>
              </a:ln>
              <a:effectLst>
                <a:outerShdw blurRad="63500" sx="102000" sy="102000" algn="ctr" rotWithShape="0">
                  <a:prstClr val="black">
                    <a:alpha val="20000"/>
                  </a:prstClr>
                </a:outerShdw>
              </a:effectLst>
              <a:scene3d>
                <a:camera prst="orthographicFront"/>
                <a:lightRig rig="threePt" dir="t"/>
              </a:scene3d>
              <a:sp3d>
                <a:bevelT/>
                <a:bevelB w="38100"/>
              </a:sp3d>
            </c:spPr>
          </c:dPt>
          <c:dPt>
            <c:idx val="4"/>
            <c:spPr>
              <a:solidFill>
                <a:schemeClr val="accent5"/>
              </a:solidFill>
              <a:ln>
                <a:noFill/>
              </a:ln>
              <a:effectLst>
                <a:outerShdw blurRad="63500" sx="102000" sy="102000" algn="ctr" rotWithShape="0">
                  <a:prstClr val="black">
                    <a:alpha val="20000"/>
                  </a:prstClr>
                </a:outerShdw>
              </a:effectLst>
              <a:scene3d>
                <a:camera prst="orthographicFront"/>
                <a:lightRig rig="threePt" dir="t"/>
              </a:scene3d>
              <a:sp3d>
                <a:bevelT/>
                <a:bevelB w="38100"/>
              </a:sp3d>
            </c:spPr>
          </c:dPt>
          <c:dPt>
            <c:idx val="5"/>
            <c:spPr>
              <a:solidFill>
                <a:srgbClr val="7030A0"/>
              </a:solidFill>
              <a:ln>
                <a:noFill/>
              </a:ln>
              <a:effectLst>
                <a:outerShdw blurRad="63500" sx="102000" sy="102000" algn="ctr" rotWithShape="0">
                  <a:prstClr val="black">
                    <a:alpha val="20000"/>
                  </a:prstClr>
                </a:outerShdw>
              </a:effectLst>
              <a:scene3d>
                <a:camera prst="orthographicFront"/>
                <a:lightRig rig="threePt" dir="t"/>
              </a:scene3d>
              <a:sp3d>
                <a:bevelT/>
                <a:bevelB w="38100"/>
              </a:sp3d>
            </c:spPr>
          </c:dPt>
          <c:dPt>
            <c:idx val="6"/>
            <c:spPr>
              <a:solidFill>
                <a:schemeClr val="accent1">
                  <a:lumMod val="60000"/>
                </a:schemeClr>
              </a:solidFill>
              <a:ln>
                <a:noFill/>
              </a:ln>
              <a:effectLst>
                <a:outerShdw blurRad="63500" sx="102000" sy="102000" algn="ctr" rotWithShape="0">
                  <a:prstClr val="black">
                    <a:alpha val="20000"/>
                  </a:prstClr>
                </a:outerShdw>
              </a:effectLst>
              <a:scene3d>
                <a:camera prst="orthographicFront"/>
                <a:lightRig rig="threePt" dir="t"/>
              </a:scene3d>
              <a:sp3d>
                <a:bevelT/>
                <a:bevelB w="38100"/>
              </a:sp3d>
            </c:spPr>
          </c:dPt>
          <c:dPt>
            <c:idx val="7"/>
            <c:spPr>
              <a:solidFill>
                <a:schemeClr val="accent2">
                  <a:lumMod val="60000"/>
                </a:schemeClr>
              </a:solidFill>
              <a:ln>
                <a:noFill/>
              </a:ln>
              <a:effectLst>
                <a:outerShdw blurRad="63500" sx="102000" sy="102000" algn="ctr" rotWithShape="0">
                  <a:prstClr val="black">
                    <a:alpha val="20000"/>
                  </a:prstClr>
                </a:outerShdw>
              </a:effectLst>
              <a:scene3d>
                <a:camera prst="orthographicFront"/>
                <a:lightRig rig="threePt" dir="t"/>
              </a:scene3d>
              <a:sp3d>
                <a:bevelT/>
                <a:bevelB w="38100"/>
              </a:sp3d>
            </c:spPr>
          </c:dPt>
          <c:dPt>
            <c:idx val="8"/>
            <c:spPr>
              <a:solidFill>
                <a:schemeClr val="accent3">
                  <a:lumMod val="60000"/>
                </a:schemeClr>
              </a:solidFill>
              <a:ln>
                <a:noFill/>
              </a:ln>
              <a:effectLst>
                <a:outerShdw blurRad="63500" sx="102000" sy="102000" algn="ctr" rotWithShape="0">
                  <a:prstClr val="black">
                    <a:alpha val="20000"/>
                  </a:prstClr>
                </a:outerShdw>
              </a:effectLst>
              <a:scene3d>
                <a:camera prst="orthographicFront"/>
                <a:lightRig rig="threePt" dir="t"/>
              </a:scene3d>
              <a:sp3d>
                <a:bevelT/>
                <a:bevelB w="38100"/>
              </a:sp3d>
            </c:spPr>
          </c:dPt>
          <c:dPt>
            <c:idx val="9"/>
            <c:spPr>
              <a:solidFill>
                <a:schemeClr val="accent4">
                  <a:lumMod val="60000"/>
                </a:schemeClr>
              </a:solidFill>
              <a:ln>
                <a:noFill/>
              </a:ln>
              <a:effectLst>
                <a:outerShdw blurRad="63500" sx="102000" sy="102000" algn="ctr" rotWithShape="0">
                  <a:prstClr val="black">
                    <a:alpha val="20000"/>
                  </a:prstClr>
                </a:outerShdw>
              </a:effectLst>
              <a:scene3d>
                <a:camera prst="orthographicFront"/>
                <a:lightRig rig="threePt" dir="t"/>
              </a:scene3d>
              <a:sp3d>
                <a:bevelT/>
                <a:bevelB w="38100"/>
              </a:sp3d>
            </c:spPr>
          </c:dPt>
          <c:dPt>
            <c:idx val="10"/>
            <c:spPr>
              <a:solidFill>
                <a:schemeClr val="accent5">
                  <a:lumMod val="60000"/>
                </a:schemeClr>
              </a:solidFill>
              <a:ln>
                <a:noFill/>
              </a:ln>
              <a:effectLst>
                <a:outerShdw blurRad="63500" sx="102000" sy="102000" algn="ctr" rotWithShape="0">
                  <a:prstClr val="black">
                    <a:alpha val="20000"/>
                  </a:prstClr>
                </a:outerShdw>
              </a:effectLst>
              <a:scene3d>
                <a:camera prst="orthographicFront"/>
                <a:lightRig rig="threePt" dir="t"/>
              </a:scene3d>
              <a:sp3d>
                <a:bevelT/>
                <a:bevelB w="38100"/>
              </a:sp3d>
            </c:spPr>
          </c:dPt>
          <c:dPt>
            <c:idx val="11"/>
            <c:spPr>
              <a:solidFill>
                <a:schemeClr val="accent6">
                  <a:lumMod val="60000"/>
                </a:schemeClr>
              </a:solidFill>
              <a:ln>
                <a:noFill/>
              </a:ln>
              <a:effectLst>
                <a:outerShdw blurRad="63500" sx="102000" sy="102000" algn="ctr" rotWithShape="0">
                  <a:prstClr val="black">
                    <a:alpha val="20000"/>
                  </a:prstClr>
                </a:outerShdw>
              </a:effectLst>
              <a:scene3d>
                <a:camera prst="orthographicFront"/>
                <a:lightRig rig="threePt" dir="t"/>
              </a:scene3d>
              <a:sp3d>
                <a:bevelT/>
                <a:bevelB w="38100"/>
              </a:sp3d>
            </c:spPr>
          </c:dPt>
          <c:dLbls>
            <c:dLbl>
              <c:idx val="0"/>
              <c:layout>
                <c:manualLayout>
                  <c:x val="0.10463809348692213"/>
                  <c:y val="1.8178753855594022E-2"/>
                </c:manualLayout>
              </c:layout>
              <c:showVal val="1"/>
              <c:showCatName val="1"/>
              <c:showPercent val="1"/>
            </c:dLbl>
            <c:dLbl>
              <c:idx val="1"/>
              <c:layout>
                <c:manualLayout>
                  <c:x val="1.0360207275932783E-2"/>
                  <c:y val="0.10729889857761229"/>
                </c:manualLayout>
              </c:layout>
              <c:showVal val="1"/>
              <c:showCatName val="1"/>
              <c:showPercent val="1"/>
            </c:dLbl>
            <c:dLbl>
              <c:idx val="2"/>
              <c:layout>
                <c:manualLayout>
                  <c:x val="1.0360207275932841E-3"/>
                  <c:y val="6.7372593524449034E-2"/>
                </c:manualLayout>
              </c:layout>
              <c:showVal val="1"/>
              <c:showCatName val="1"/>
              <c:showPercent val="1"/>
            </c:dLbl>
            <c:dLbl>
              <c:idx val="3"/>
              <c:layout>
                <c:manualLayout>
                  <c:x val="0"/>
                  <c:y val="-4.4766447969234692E-3"/>
                </c:manualLayout>
              </c:layout>
              <c:showVal val="1"/>
              <c:showCatName val="1"/>
              <c:showPercent val="1"/>
            </c:dLbl>
            <c:dLbl>
              <c:idx val="4"/>
              <c:layout>
                <c:manualLayout>
                  <c:x val="5.9312268231151349E-2"/>
                  <c:y val="-0.12223695254669489"/>
                </c:manualLayout>
              </c:layout>
              <c:showVal val="1"/>
              <c:showCatName val="1"/>
              <c:showPercent val="1"/>
            </c:dLbl>
            <c:dLbl>
              <c:idx val="5"/>
              <c:layout>
                <c:manualLayout>
                  <c:x val="0.23202442855299502"/>
                  <c:y val="-5.3731537784308413E-2"/>
                </c:manualLayout>
              </c:layout>
              <c:showVal val="1"/>
              <c:showCatName val="1"/>
              <c:showPercent val="1"/>
            </c:dLbl>
            <c:dLbl>
              <c:idx val="12"/>
              <c:tx>
                <c:rich>
                  <a:bodyPr/>
                  <a:lstStyle/>
                  <a:p>
                    <a:r>
                      <a:rPr altLang="en-US"/>
                      <a:t>其他, 685, 75.5</a:t>
                    </a:r>
                    <a:r>
                      <a:rPr lang="en-US" altLang="zh-CN"/>
                      <a:t>3</a:t>
                    </a:r>
                    <a:r>
                      <a:rPr altLang="en-US"/>
                      <a:t>%</a:t>
                    </a:r>
                  </a:p>
                </c:rich>
              </c:tx>
              <c:showVal val="1"/>
              <c:showCatName val="1"/>
              <c:showPercent val="1"/>
            </c:dLbl>
            <c:numFmt formatCode="0.00%" sourceLinked="0"/>
            <c:showVal val="1"/>
            <c:showCatName val="1"/>
            <c:showPercent val="1"/>
            <c:showLeaderLines val="1"/>
          </c:dLbls>
          <c:cat>
            <c:strRef>
              <c:f>Sheet1!$A$2:$A$13</c:f>
              <c:strCache>
                <c:ptCount val="12"/>
                <c:pt idx="0">
                  <c:v>婚姻家庭、继承纠纷</c:v>
                </c:pt>
                <c:pt idx="1">
                  <c:v>物权纠纷</c:v>
                </c:pt>
                <c:pt idx="2">
                  <c:v>侵权责任纠纷</c:v>
                </c:pt>
                <c:pt idx="3">
                  <c:v>人格权纠纷</c:v>
                </c:pt>
                <c:pt idx="4">
                  <c:v>劳动争议、人事争议</c:v>
                </c:pt>
                <c:pt idx="5">
                  <c:v>适用特殊程序案件案由</c:v>
                </c:pt>
                <c:pt idx="6">
                  <c:v>其他</c:v>
                </c:pt>
                <c:pt idx="7">
                  <c:v>金融借款合同纠纷</c:v>
                </c:pt>
                <c:pt idx="8">
                  <c:v>物业服务合同</c:v>
                </c:pt>
                <c:pt idx="9">
                  <c:v>买卖合同纠纷</c:v>
                </c:pt>
                <c:pt idx="10">
                  <c:v>民间借贷</c:v>
                </c:pt>
                <c:pt idx="11">
                  <c:v>劳务合同纠纷</c:v>
                </c:pt>
              </c:strCache>
            </c:strRef>
          </c:cat>
          <c:val>
            <c:numRef>
              <c:f>Sheet1!$B$2:$B$13</c:f>
              <c:numCache>
                <c:formatCode>General</c:formatCode>
                <c:ptCount val="12"/>
                <c:pt idx="0">
                  <c:v>106</c:v>
                </c:pt>
                <c:pt idx="1">
                  <c:v>52</c:v>
                </c:pt>
                <c:pt idx="2">
                  <c:v>34</c:v>
                </c:pt>
                <c:pt idx="3">
                  <c:v>19</c:v>
                </c:pt>
                <c:pt idx="4">
                  <c:v>6</c:v>
                </c:pt>
                <c:pt idx="5">
                  <c:v>5</c:v>
                </c:pt>
                <c:pt idx="6">
                  <c:v>204</c:v>
                </c:pt>
                <c:pt idx="7">
                  <c:v>45</c:v>
                </c:pt>
                <c:pt idx="8">
                  <c:v>139</c:v>
                </c:pt>
                <c:pt idx="9">
                  <c:v>82</c:v>
                </c:pt>
                <c:pt idx="10">
                  <c:v>142</c:v>
                </c:pt>
                <c:pt idx="11">
                  <c:v>73</c:v>
                </c:pt>
              </c:numCache>
            </c:numRef>
          </c:val>
        </c:ser>
        <c:dLbls>
          <c:showCatName val="1"/>
        </c:dLbls>
        <c:gapWidth val="100"/>
        <c:splitType val="pos"/>
        <c:splitPos val="6"/>
        <c:secondPieSize val="75"/>
        <c:serLines>
          <c:spPr>
            <a:ln w="9525" cap="flat" cmpd="sng" algn="ctr">
              <a:solidFill>
                <a:schemeClr val="tx1">
                  <a:lumMod val="35000"/>
                  <a:lumOff val="65000"/>
                </a:schemeClr>
              </a:solidFill>
              <a:prstDash val="solid"/>
              <a:round/>
            </a:ln>
            <a:effectLst/>
          </c:spPr>
        </c:serLines>
      </c:ofPieChart>
      <c:spPr>
        <a:noFill/>
        <a:ln>
          <a:noFill/>
        </a:ln>
        <a:effectLst/>
      </c:spPr>
    </c:plotArea>
    <c:plotVisOnly val="1"/>
    <c:dispBlanksAs val="zero"/>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zh-CN" sz="1400" b="1">
                <a:latin typeface="宋体" pitchFamily="2" charset="-122"/>
                <a:ea typeface="宋体" pitchFamily="2" charset="-122"/>
              </a:rPr>
              <a:t>2019</a:t>
            </a:r>
            <a:r>
              <a:rPr lang="zh-CN" altLang="en-US" sz="1400" b="1">
                <a:latin typeface="宋体" pitchFamily="2" charset="-122"/>
                <a:ea typeface="宋体" pitchFamily="2" charset="-122"/>
              </a:rPr>
              <a:t>年</a:t>
            </a:r>
            <a:r>
              <a:rPr lang="en-US" altLang="zh-CN" sz="1400" b="1">
                <a:latin typeface="宋体" pitchFamily="2" charset="-122"/>
                <a:ea typeface="宋体" pitchFamily="2" charset="-122"/>
              </a:rPr>
              <a:t>1-9</a:t>
            </a:r>
            <a:r>
              <a:rPr lang="zh-CN" altLang="en-US" sz="1400" b="1">
                <a:latin typeface="宋体" pitchFamily="2" charset="-122"/>
                <a:ea typeface="宋体" pitchFamily="2" charset="-122"/>
              </a:rPr>
              <a:t>月和龙法院审结刑事案件罪名分布情况</a:t>
            </a:r>
          </a:p>
        </c:rich>
      </c:tx>
      <c:layout>
        <c:manualLayout>
          <c:xMode val="edge"/>
          <c:yMode val="edge"/>
          <c:x val="9.0746573344998568E-2"/>
          <c:y val="3.1746031746031744E-2"/>
        </c:manualLayout>
      </c:layout>
    </c:title>
    <c:plotArea>
      <c:layout/>
      <c:pieChart>
        <c:varyColors val="1"/>
        <c:ser>
          <c:idx val="0"/>
          <c:order val="0"/>
          <c:tx>
            <c:strRef>
              <c:f>Sheet1!$B$1</c:f>
              <c:strCache>
                <c:ptCount val="1"/>
                <c:pt idx="0">
                  <c:v>图15:2019年1-4月和龙法院审结刑事案件罪名分布情况</c:v>
                </c:pt>
              </c:strCache>
            </c:strRef>
          </c:tx>
          <c:dLbls>
            <c:dLbl>
              <c:idx val="0"/>
              <c:layout>
                <c:manualLayout>
                  <c:x val="-0.12993456547098278"/>
                  <c:y val="8.2570303712036747E-2"/>
                </c:manualLayout>
              </c:layout>
              <c:showVal val="1"/>
              <c:showCatName val="1"/>
              <c:showPercent val="1"/>
            </c:dLbl>
            <c:dLbl>
              <c:idx val="1"/>
              <c:layout>
                <c:manualLayout>
                  <c:x val="-5.0290172061825608E-2"/>
                  <c:y val="-0.10394075740532439"/>
                </c:manualLayout>
              </c:layout>
              <c:showVal val="1"/>
              <c:showCatName val="1"/>
              <c:showPercent val="1"/>
            </c:dLbl>
            <c:dLbl>
              <c:idx val="2"/>
              <c:layout>
                <c:manualLayout>
                  <c:x val="0.10367317366579179"/>
                  <c:y val="-0.12577052868391114"/>
                </c:manualLayout>
              </c:layout>
              <c:showVal val="1"/>
              <c:showCatName val="1"/>
              <c:showPercent val="1"/>
            </c:dLbl>
            <c:dLbl>
              <c:idx val="3"/>
              <c:layout>
                <c:manualLayout>
                  <c:x val="5.1597677894429934E-2"/>
                  <c:y val="0.1451912260967379"/>
                </c:manualLayout>
              </c:layout>
              <c:showVal val="1"/>
              <c:showCatName val="1"/>
              <c:showPercent val="1"/>
            </c:dLbl>
            <c:dLbl>
              <c:idx val="4"/>
              <c:layout>
                <c:manualLayout>
                  <c:x val="-5.0885097696121505E-2"/>
                  <c:y val="0.12797619047619149"/>
                </c:manualLayout>
              </c:layout>
              <c:showVal val="1"/>
              <c:showCatName val="1"/>
              <c:showPercent val="1"/>
            </c:dLbl>
            <c:dLbl>
              <c:idx val="5"/>
              <c:layout>
                <c:manualLayout>
                  <c:x val="0.13179152085156023"/>
                  <c:y val="6.4484126984127033E-2"/>
                </c:manualLayout>
              </c:layout>
              <c:showVal val="1"/>
              <c:showCatName val="1"/>
              <c:showPercent val="1"/>
            </c:dLbl>
            <c:numFmt formatCode="0.00%" sourceLinked="0"/>
            <c:showVal val="1"/>
            <c:showCatName val="1"/>
            <c:showPercent val="1"/>
            <c:showLeaderLines val="1"/>
          </c:dLbls>
          <c:cat>
            <c:strRef>
              <c:f>Sheet1!$A$2:$A$7</c:f>
              <c:strCache>
                <c:ptCount val="6"/>
                <c:pt idx="0">
                  <c:v>危害公共安全罪</c:v>
                </c:pt>
                <c:pt idx="1">
                  <c:v>侵犯公民人身权利、民主权利罪</c:v>
                </c:pt>
                <c:pt idx="2">
                  <c:v>妨害社会管理秩序罪</c:v>
                </c:pt>
                <c:pt idx="3">
                  <c:v>侵犯财产罪</c:v>
                </c:pt>
                <c:pt idx="4">
                  <c:v>破坏社会主义市场经济秩序罪</c:v>
                </c:pt>
                <c:pt idx="5">
                  <c:v>贪污受贿罪</c:v>
                </c:pt>
              </c:strCache>
            </c:strRef>
          </c:cat>
          <c:val>
            <c:numRef>
              <c:f>Sheet1!$B$2:$B$7</c:f>
              <c:numCache>
                <c:formatCode>General</c:formatCode>
                <c:ptCount val="6"/>
                <c:pt idx="0">
                  <c:v>24</c:v>
                </c:pt>
                <c:pt idx="1">
                  <c:v>10</c:v>
                </c:pt>
                <c:pt idx="2">
                  <c:v>29</c:v>
                </c:pt>
                <c:pt idx="3">
                  <c:v>19</c:v>
                </c:pt>
                <c:pt idx="4">
                  <c:v>6</c:v>
                </c:pt>
                <c:pt idx="5">
                  <c:v>1</c:v>
                </c:pt>
              </c:numCache>
            </c:numRef>
          </c:val>
        </c:ser>
        <c:firstSliceAng val="0"/>
      </c:pieChart>
    </c:plotArea>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206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A978FF-D637-4305-8325-63FE1A19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16</Pages>
  <Words>1334</Words>
  <Characters>7604</Characters>
  <Application>Microsoft Office Word</Application>
  <DocSecurity>0</DocSecurity>
  <Lines>63</Lines>
  <Paragraphs>17</Paragraphs>
  <ScaleCrop>false</ScaleCrop>
  <Company>微软中国</Company>
  <LinksUpToDate>false</LinksUpToDate>
  <CharactersWithSpaces>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第一部分　中院审判管理综合情况</dc:title>
  <dc:creator>微软用户</dc:creator>
  <cp:lastModifiedBy>user</cp:lastModifiedBy>
  <cp:revision>15</cp:revision>
  <cp:lastPrinted>2019-08-07T07:05:00Z</cp:lastPrinted>
  <dcterms:created xsi:type="dcterms:W3CDTF">2019-10-11T05:53:00Z</dcterms:created>
  <dcterms:modified xsi:type="dcterms:W3CDTF">2019-11-20T02:14:00Z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