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5790" w:rsidRPr="004631AE" w:rsidRDefault="00EA68C7">
      <w:pPr>
        <w:snapToGrid w:val="0"/>
        <w:spacing w:line="560" w:lineRule="exact"/>
        <w:jc w:val="center"/>
        <w:rPr>
          <w:rFonts w:ascii="宋体" w:eastAsia="宋体"/>
          <w:b/>
          <w:sz w:val="44"/>
          <w:szCs w:val="44"/>
        </w:rPr>
      </w:pPr>
      <w:r>
        <w:rPr>
          <w:rFonts w:ascii="宋体" w:eastAsia="宋体" w:hint="eastAsia"/>
          <w:b/>
          <w:sz w:val="44"/>
          <w:szCs w:val="44"/>
        </w:rPr>
        <w:t>和龙市</w:t>
      </w:r>
      <w:r w:rsidR="000F5790" w:rsidRPr="004631AE">
        <w:rPr>
          <w:rFonts w:ascii="宋体" w:eastAsia="宋体" w:hint="eastAsia"/>
          <w:b/>
          <w:sz w:val="44"/>
          <w:szCs w:val="44"/>
        </w:rPr>
        <w:t>人民法院</w:t>
      </w:r>
    </w:p>
    <w:p w:rsidR="000F5790" w:rsidRPr="004631AE" w:rsidRDefault="00636A9E" w:rsidP="003D73F6">
      <w:pPr>
        <w:tabs>
          <w:tab w:val="left" w:pos="1134"/>
        </w:tabs>
        <w:snapToGrid w:val="0"/>
        <w:spacing w:line="560" w:lineRule="exact"/>
        <w:jc w:val="center"/>
        <w:rPr>
          <w:rFonts w:ascii="宋体" w:eastAsia="宋体"/>
          <w:b/>
          <w:sz w:val="44"/>
          <w:szCs w:val="44"/>
        </w:rPr>
      </w:pPr>
      <w:r>
        <w:rPr>
          <w:rFonts w:ascii="宋体" w:eastAsia="宋体" w:hint="eastAsia"/>
          <w:b/>
          <w:sz w:val="44"/>
          <w:szCs w:val="44"/>
        </w:rPr>
        <w:t>2017年</w:t>
      </w:r>
      <w:r w:rsidR="00752FC7">
        <w:rPr>
          <w:rFonts w:ascii="宋体" w:eastAsia="宋体" w:hint="eastAsia"/>
          <w:b/>
          <w:sz w:val="44"/>
          <w:szCs w:val="44"/>
        </w:rPr>
        <w:t>三季度</w:t>
      </w:r>
      <w:r w:rsidR="000F5790" w:rsidRPr="004631AE">
        <w:rPr>
          <w:rFonts w:ascii="宋体" w:eastAsia="宋体" w:hint="eastAsia"/>
          <w:b/>
          <w:sz w:val="44"/>
          <w:szCs w:val="44"/>
        </w:rPr>
        <w:t>审判运行</w:t>
      </w:r>
      <w:r w:rsidR="0065770E">
        <w:rPr>
          <w:rFonts w:ascii="宋体" w:eastAsia="宋体" w:hint="eastAsia"/>
          <w:b/>
          <w:sz w:val="44"/>
          <w:szCs w:val="44"/>
        </w:rPr>
        <w:t>态势</w:t>
      </w:r>
      <w:r w:rsidR="000F5790" w:rsidRPr="004631AE">
        <w:rPr>
          <w:rFonts w:ascii="宋体" w:eastAsia="宋体" w:hint="eastAsia"/>
          <w:b/>
          <w:sz w:val="44"/>
          <w:szCs w:val="44"/>
        </w:rPr>
        <w:t>分析报告</w:t>
      </w:r>
    </w:p>
    <w:p w:rsidR="000F5790" w:rsidRPr="000D50EC" w:rsidRDefault="000F5790" w:rsidP="007213EB">
      <w:pPr>
        <w:snapToGrid w:val="0"/>
        <w:spacing w:line="360" w:lineRule="auto"/>
        <w:ind w:firstLineChars="200" w:firstLine="640"/>
        <w:textAlignment w:val="baseline"/>
      </w:pPr>
    </w:p>
    <w:p w:rsidR="006E6C68" w:rsidRPr="002C1BAF" w:rsidRDefault="000F5790" w:rsidP="002C1BAF">
      <w:pPr>
        <w:snapToGrid w:val="0"/>
        <w:spacing w:line="360" w:lineRule="auto"/>
        <w:ind w:firstLineChars="200" w:firstLine="643"/>
        <w:rPr>
          <w:rFonts w:ascii="黑体" w:eastAsia="黑体" w:hAnsi="黑体"/>
          <w:b/>
        </w:rPr>
      </w:pPr>
      <w:r w:rsidRPr="002C1BAF">
        <w:rPr>
          <w:rFonts w:ascii="黑体" w:eastAsia="黑体" w:hAnsi="黑体" w:hint="eastAsia"/>
          <w:b/>
        </w:rPr>
        <w:t>一、</w:t>
      </w:r>
      <w:r w:rsidR="00E20F54" w:rsidRPr="002C1BAF">
        <w:rPr>
          <w:rFonts w:ascii="黑体" w:eastAsia="黑体" w:hAnsi="黑体" w:hint="eastAsia"/>
          <w:b/>
        </w:rPr>
        <w:t>审判执行收结案情况</w:t>
      </w:r>
    </w:p>
    <w:p w:rsidR="000F5790" w:rsidRPr="002C1BAF" w:rsidRDefault="000F5790" w:rsidP="002C1BAF">
      <w:pPr>
        <w:snapToGrid w:val="0"/>
        <w:spacing w:line="360" w:lineRule="auto"/>
        <w:ind w:firstLineChars="200" w:firstLine="643"/>
        <w:rPr>
          <w:rFonts w:ascii="黑体" w:eastAsia="黑体" w:hAnsi="黑体"/>
        </w:rPr>
      </w:pPr>
      <w:r w:rsidRPr="002C1BAF">
        <w:rPr>
          <w:rFonts w:ascii="黑体" w:eastAsia="黑体" w:hAnsi="黑体" w:hint="eastAsia"/>
          <w:b/>
        </w:rPr>
        <w:t>（一）</w:t>
      </w:r>
      <w:r w:rsidR="0028427E" w:rsidRPr="002C1BAF">
        <w:rPr>
          <w:rFonts w:ascii="黑体" w:eastAsia="黑体" w:hAnsi="黑体" w:hint="eastAsia"/>
          <w:b/>
        </w:rPr>
        <w:t>收结案件情况</w:t>
      </w:r>
    </w:p>
    <w:p w:rsidR="00524F89" w:rsidRDefault="00524F89" w:rsidP="00524F89">
      <w:pPr>
        <w:snapToGrid w:val="0"/>
        <w:spacing w:line="360" w:lineRule="auto"/>
        <w:ind w:firstLineChars="200" w:firstLine="640"/>
        <w:rPr>
          <w:rFonts w:hAnsi="仿宋"/>
          <w:shd w:val="clear" w:color="auto" w:fill="FFFFFF"/>
        </w:rPr>
      </w:pPr>
      <w:r>
        <w:rPr>
          <w:rFonts w:hAnsi="仿宋" w:hint="eastAsia"/>
        </w:rPr>
        <w:t>2017年</w:t>
      </w:r>
      <w:r w:rsidRPr="003C1223">
        <w:rPr>
          <w:rFonts w:hAnsi="仿宋" w:hint="eastAsia"/>
        </w:rPr>
        <w:t>1月1日至</w:t>
      </w:r>
      <w:r w:rsidR="00911BFE">
        <w:rPr>
          <w:rFonts w:hAnsi="仿宋" w:hint="eastAsia"/>
        </w:rPr>
        <w:t>9</w:t>
      </w:r>
      <w:r>
        <w:rPr>
          <w:rFonts w:hAnsi="仿宋" w:hint="eastAsia"/>
        </w:rPr>
        <w:t>月30日</w:t>
      </w:r>
      <w:r w:rsidRPr="003C1223">
        <w:rPr>
          <w:rFonts w:hAnsi="仿宋" w:hint="eastAsia"/>
        </w:rPr>
        <w:t>全院共受理各类案</w:t>
      </w:r>
      <w:bookmarkStart w:id="0" w:name="_GoBack"/>
      <w:bookmarkEnd w:id="0"/>
      <w:r w:rsidRPr="003C1223">
        <w:rPr>
          <w:rFonts w:hAnsi="仿宋" w:hint="eastAsia"/>
        </w:rPr>
        <w:t>件</w:t>
      </w:r>
      <w:r>
        <w:rPr>
          <w:rFonts w:hAnsi="仿宋" w:hint="eastAsia"/>
        </w:rPr>
        <w:t>1</w:t>
      </w:r>
      <w:r w:rsidR="00911BFE">
        <w:rPr>
          <w:rFonts w:hAnsi="仿宋" w:hint="eastAsia"/>
        </w:rPr>
        <w:t>977</w:t>
      </w:r>
      <w:r w:rsidRPr="003C1223">
        <w:rPr>
          <w:rFonts w:hAnsi="仿宋" w:hint="eastAsia"/>
        </w:rPr>
        <w:t>件,其中，旧存</w:t>
      </w:r>
      <w:r>
        <w:rPr>
          <w:rFonts w:hAnsi="仿宋" w:hint="eastAsia"/>
        </w:rPr>
        <w:t>212</w:t>
      </w:r>
      <w:r w:rsidRPr="003C1223">
        <w:rPr>
          <w:rFonts w:hAnsi="仿宋" w:hint="eastAsia"/>
        </w:rPr>
        <w:t>件,</w:t>
      </w:r>
      <w:r>
        <w:rPr>
          <w:rFonts w:hAnsi="仿宋" w:hint="eastAsia"/>
        </w:rPr>
        <w:t>同比</w:t>
      </w:r>
      <w:r w:rsidR="00E92AA7">
        <w:rPr>
          <w:rFonts w:hAnsi="仿宋" w:hint="eastAsia"/>
        </w:rPr>
        <w:t>下降</w:t>
      </w:r>
      <w:r>
        <w:rPr>
          <w:rFonts w:hAnsi="仿宋" w:hint="eastAsia"/>
        </w:rPr>
        <w:t>18.4</w:t>
      </w:r>
      <w:r w:rsidR="00CC09EF">
        <w:rPr>
          <w:rFonts w:hAnsi="仿宋" w:hint="eastAsia"/>
        </w:rPr>
        <w:t>6</w:t>
      </w:r>
      <w:r w:rsidRPr="003C1223">
        <w:rPr>
          <w:rFonts w:hAnsi="仿宋" w:hint="eastAsia"/>
        </w:rPr>
        <w:t>%</w:t>
      </w:r>
      <w:r>
        <w:rPr>
          <w:rFonts w:hAnsi="仿宋" w:hint="eastAsia"/>
        </w:rPr>
        <w:t>；</w:t>
      </w:r>
      <w:r w:rsidRPr="003C1223">
        <w:rPr>
          <w:rFonts w:hAnsi="仿宋" w:hint="eastAsia"/>
        </w:rPr>
        <w:t>新收</w:t>
      </w:r>
      <w:r>
        <w:rPr>
          <w:rFonts w:hAnsi="仿宋" w:hint="eastAsia"/>
        </w:rPr>
        <w:t>1</w:t>
      </w:r>
      <w:r w:rsidR="00911BFE">
        <w:rPr>
          <w:rFonts w:hAnsi="仿宋" w:hint="eastAsia"/>
        </w:rPr>
        <w:t>765</w:t>
      </w:r>
      <w:r w:rsidRPr="003C1223">
        <w:rPr>
          <w:rFonts w:hAnsi="仿宋" w:hint="eastAsia"/>
        </w:rPr>
        <w:t>件，同比上升</w:t>
      </w:r>
      <w:r w:rsidRPr="00B35B6F">
        <w:rPr>
          <w:rFonts w:hAnsi="仿宋" w:hint="eastAsia"/>
        </w:rPr>
        <w:t>2</w:t>
      </w:r>
      <w:r w:rsidR="00B35B6F" w:rsidRPr="00B35B6F">
        <w:rPr>
          <w:rFonts w:hAnsi="仿宋" w:hint="eastAsia"/>
        </w:rPr>
        <w:t>2.15</w:t>
      </w:r>
      <w:r w:rsidRPr="003C1223">
        <w:rPr>
          <w:rFonts w:hAnsi="仿宋" w:hint="eastAsia"/>
        </w:rPr>
        <w:t>%，审执结</w:t>
      </w:r>
      <w:r>
        <w:rPr>
          <w:rFonts w:hAnsi="仿宋" w:hint="eastAsia"/>
        </w:rPr>
        <w:t>1</w:t>
      </w:r>
      <w:r w:rsidR="00911BFE">
        <w:rPr>
          <w:rFonts w:hAnsi="仿宋" w:hint="eastAsia"/>
        </w:rPr>
        <w:t>412</w:t>
      </w:r>
      <w:r w:rsidRPr="003C1223">
        <w:rPr>
          <w:rFonts w:hAnsi="仿宋" w:hint="eastAsia"/>
        </w:rPr>
        <w:t>件，同比</w:t>
      </w:r>
      <w:r>
        <w:rPr>
          <w:rFonts w:hAnsi="仿宋" w:hint="eastAsia"/>
        </w:rPr>
        <w:t>上升</w:t>
      </w:r>
      <w:r w:rsidRPr="00B35B6F">
        <w:rPr>
          <w:rFonts w:hAnsi="仿宋" w:hint="eastAsia"/>
        </w:rPr>
        <w:t>2</w:t>
      </w:r>
      <w:r w:rsidR="00B35B6F" w:rsidRPr="00B35B6F">
        <w:rPr>
          <w:rFonts w:hAnsi="仿宋" w:hint="eastAsia"/>
        </w:rPr>
        <w:t>6.</w:t>
      </w:r>
      <w:r w:rsidR="00CC09EF">
        <w:rPr>
          <w:rFonts w:hAnsi="仿宋" w:hint="eastAsia"/>
        </w:rPr>
        <w:t>86</w:t>
      </w:r>
      <w:r w:rsidRPr="003C1223">
        <w:rPr>
          <w:rFonts w:hAnsi="仿宋" w:hint="eastAsia"/>
        </w:rPr>
        <w:t>%;未结案件</w:t>
      </w:r>
      <w:r>
        <w:rPr>
          <w:rFonts w:hAnsi="仿宋" w:hint="eastAsia"/>
        </w:rPr>
        <w:t>5</w:t>
      </w:r>
      <w:r w:rsidR="00911BFE">
        <w:rPr>
          <w:rFonts w:hAnsi="仿宋" w:hint="eastAsia"/>
        </w:rPr>
        <w:t>65</w:t>
      </w:r>
      <w:r w:rsidRPr="003C1223">
        <w:rPr>
          <w:rFonts w:hAnsi="仿宋" w:hint="eastAsia"/>
        </w:rPr>
        <w:t>件，同比</w:t>
      </w:r>
      <w:r w:rsidR="00B35B6F">
        <w:rPr>
          <w:rFonts w:hAnsi="仿宋" w:hint="eastAsia"/>
        </w:rPr>
        <w:t>下降</w:t>
      </w:r>
      <w:r w:rsidR="00B35B6F" w:rsidRPr="00B35B6F">
        <w:rPr>
          <w:rFonts w:hAnsi="仿宋" w:hint="eastAsia"/>
        </w:rPr>
        <w:t>4.</w:t>
      </w:r>
      <w:r w:rsidR="00CC09EF">
        <w:rPr>
          <w:rFonts w:hAnsi="仿宋" w:hint="eastAsia"/>
        </w:rPr>
        <w:t>56</w:t>
      </w:r>
      <w:r w:rsidRPr="003C1223">
        <w:rPr>
          <w:rFonts w:hAnsi="仿宋" w:hint="eastAsia"/>
        </w:rPr>
        <w:t>%。</w:t>
      </w:r>
      <w:r w:rsidR="00BC09C4">
        <w:rPr>
          <w:rFonts w:hAnsi="仿宋" w:hint="eastAsia"/>
        </w:rPr>
        <w:t>全院人均受理案件数</w:t>
      </w:r>
      <w:r w:rsidR="00BC09C4" w:rsidRPr="00190EA5">
        <w:rPr>
          <w:rFonts w:hint="eastAsia"/>
          <w:sz w:val="30"/>
          <w:szCs w:val="30"/>
        </w:rPr>
        <w:t>79.08</w:t>
      </w:r>
      <w:r w:rsidR="00BC09C4">
        <w:rPr>
          <w:rFonts w:hAnsi="仿宋" w:hint="eastAsia"/>
        </w:rPr>
        <w:t>件，同比上升29.87%，</w:t>
      </w:r>
      <w:r w:rsidR="00BC09C4" w:rsidRPr="001B042A">
        <w:rPr>
          <w:rFonts w:hAnsi="仿宋" w:hint="eastAsia"/>
        </w:rPr>
        <w:t>全院人均结案数</w:t>
      </w:r>
      <w:r w:rsidR="00BC09C4" w:rsidRPr="00190EA5">
        <w:rPr>
          <w:rFonts w:hint="eastAsia"/>
          <w:sz w:val="30"/>
          <w:szCs w:val="30"/>
        </w:rPr>
        <w:t>56.48</w:t>
      </w:r>
      <w:r w:rsidR="00BC09C4" w:rsidRPr="001B042A">
        <w:rPr>
          <w:rFonts w:hAnsi="仿宋" w:hint="eastAsia"/>
        </w:rPr>
        <w:t>件，</w:t>
      </w:r>
      <w:r w:rsidR="00BC09C4">
        <w:rPr>
          <w:rFonts w:hAnsi="仿宋" w:hint="eastAsia"/>
        </w:rPr>
        <w:t>同比上升42.09%。</w:t>
      </w:r>
      <w:r w:rsidR="00BC09C4" w:rsidRPr="003C1223">
        <w:rPr>
          <w:rFonts w:hAnsi="仿宋" w:hint="eastAsia"/>
          <w:shd w:val="clear" w:color="auto" w:fill="FFFFFF"/>
        </w:rPr>
        <w:t>全院结案率</w:t>
      </w:r>
      <w:r w:rsidR="00BC09C4">
        <w:rPr>
          <w:rFonts w:hint="eastAsia"/>
          <w:sz w:val="30"/>
          <w:szCs w:val="30"/>
        </w:rPr>
        <w:t>71.42</w:t>
      </w:r>
      <w:r w:rsidR="00BC09C4" w:rsidRPr="003C1223">
        <w:rPr>
          <w:rFonts w:hAnsi="仿宋" w:hint="eastAsia"/>
          <w:shd w:val="clear" w:color="auto" w:fill="FFFFFF"/>
        </w:rPr>
        <w:t>%，同比</w:t>
      </w:r>
      <w:r w:rsidR="00BC09C4">
        <w:rPr>
          <w:rFonts w:hAnsi="仿宋" w:hint="eastAsia"/>
          <w:shd w:val="clear" w:color="auto" w:fill="FFFFFF"/>
        </w:rPr>
        <w:t>上升</w:t>
      </w:r>
      <w:r w:rsidR="00BC09C4" w:rsidRPr="003274A2">
        <w:rPr>
          <w:rFonts w:hAnsi="仿宋" w:hint="eastAsia"/>
          <w:shd w:val="clear" w:color="auto" w:fill="FFFFFF"/>
        </w:rPr>
        <w:t>6.14</w:t>
      </w:r>
      <w:r w:rsidR="00BC09C4" w:rsidRPr="003C1223">
        <w:rPr>
          <w:rFonts w:hAnsi="仿宋" w:hint="eastAsia"/>
          <w:shd w:val="clear" w:color="auto" w:fill="FFFFFF"/>
        </w:rPr>
        <w:t>个百分点</w:t>
      </w:r>
      <w:r>
        <w:rPr>
          <w:rFonts w:hAnsi="仿宋" w:hint="eastAsia"/>
          <w:shd w:val="clear" w:color="auto" w:fill="FFFFFF"/>
        </w:rPr>
        <w:t>。</w:t>
      </w:r>
    </w:p>
    <w:p w:rsidR="00F42CCC" w:rsidRPr="0057698F" w:rsidRDefault="0080169B" w:rsidP="007850FD">
      <w:pPr>
        <w:snapToGrid w:val="0"/>
        <w:jc w:val="center"/>
        <w:rPr>
          <w:shd w:val="clear" w:color="auto" w:fill="FFFFFF"/>
        </w:rPr>
      </w:pPr>
      <w:r>
        <w:rPr>
          <w:noProof/>
        </w:rPr>
        <w:drawing>
          <wp:inline distT="0" distB="0" distL="0" distR="0">
            <wp:extent cx="5486400" cy="3648710"/>
            <wp:effectExtent l="19050" t="0" r="0" b="0"/>
            <wp:docPr id="1" name="对象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color w:val="FF0000"/>
        </w:rPr>
        <w:lastRenderedPageBreak/>
        <w:drawing>
          <wp:inline distT="0" distB="0" distL="0" distR="0">
            <wp:extent cx="5546725" cy="2432685"/>
            <wp:effectExtent l="0" t="0" r="0" b="0"/>
            <wp:docPr id="2"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2572" w:rsidRPr="00821A47" w:rsidRDefault="00FD2572" w:rsidP="00821A47">
      <w:pPr>
        <w:snapToGrid w:val="0"/>
        <w:spacing w:line="360" w:lineRule="auto"/>
        <w:ind w:firstLineChars="200" w:firstLine="643"/>
        <w:jc w:val="left"/>
        <w:rPr>
          <w:rFonts w:ascii="黑体" w:eastAsia="黑体" w:hAnsi="黑体"/>
        </w:rPr>
      </w:pPr>
      <w:r w:rsidRPr="00821A47">
        <w:rPr>
          <w:rFonts w:ascii="黑体" w:eastAsia="黑体" w:hAnsi="黑体" w:hint="eastAsia"/>
          <w:b/>
        </w:rPr>
        <w:t>（二）新收案件情况</w:t>
      </w:r>
    </w:p>
    <w:p w:rsidR="00673AC0" w:rsidRPr="00821A47" w:rsidRDefault="00673AC0" w:rsidP="00821A47">
      <w:pPr>
        <w:snapToGrid w:val="0"/>
        <w:spacing w:line="360" w:lineRule="auto"/>
        <w:ind w:firstLineChars="200" w:firstLine="602"/>
        <w:rPr>
          <w:rFonts w:ascii="黑体" w:eastAsia="黑体" w:hAnsi="黑体"/>
          <w:b/>
          <w:sz w:val="30"/>
          <w:szCs w:val="30"/>
        </w:rPr>
      </w:pPr>
      <w:r w:rsidRPr="00821A47">
        <w:rPr>
          <w:rFonts w:ascii="黑体" w:eastAsia="黑体" w:hAnsi="黑体" w:hint="eastAsia"/>
          <w:b/>
          <w:sz w:val="30"/>
          <w:szCs w:val="30"/>
        </w:rPr>
        <w:t>1.</w:t>
      </w:r>
      <w:r w:rsidR="008C21CD" w:rsidRPr="00821A47">
        <w:rPr>
          <w:rFonts w:ascii="黑体" w:eastAsia="黑体" w:hAnsi="黑体" w:hint="eastAsia"/>
          <w:b/>
          <w:sz w:val="30"/>
          <w:szCs w:val="30"/>
        </w:rPr>
        <w:t>总体情况</w:t>
      </w:r>
    </w:p>
    <w:p w:rsidR="008C21CD" w:rsidRDefault="00636A9E" w:rsidP="008C21CD">
      <w:pPr>
        <w:snapToGrid w:val="0"/>
        <w:spacing w:line="360" w:lineRule="auto"/>
        <w:ind w:firstLineChars="200" w:firstLine="640"/>
      </w:pPr>
      <w:r>
        <w:rPr>
          <w:rFonts w:hint="eastAsia"/>
        </w:rPr>
        <w:t>2017年</w:t>
      </w:r>
      <w:r w:rsidR="00B35B6F">
        <w:rPr>
          <w:rFonts w:hint="eastAsia"/>
        </w:rPr>
        <w:t>前三季度</w:t>
      </w:r>
      <w:r w:rsidR="008C21CD">
        <w:rPr>
          <w:rFonts w:hint="eastAsia"/>
        </w:rPr>
        <w:t>和龙市人民法院新收案件呈</w:t>
      </w:r>
      <w:r w:rsidR="00A56FA5">
        <w:rPr>
          <w:rFonts w:hint="eastAsia"/>
        </w:rPr>
        <w:t>上升趋</w:t>
      </w:r>
      <w:r w:rsidR="008C21CD">
        <w:rPr>
          <w:rFonts w:hint="eastAsia"/>
        </w:rPr>
        <w:t>势，</w:t>
      </w:r>
      <w:r w:rsidR="008C21CD" w:rsidRPr="000D50EC">
        <w:rPr>
          <w:rFonts w:hint="eastAsia"/>
        </w:rPr>
        <w:t>新收</w:t>
      </w:r>
      <w:r w:rsidR="005B4C73">
        <w:rPr>
          <w:rFonts w:hint="eastAsia"/>
        </w:rPr>
        <w:t>1</w:t>
      </w:r>
      <w:r w:rsidR="00B35B6F">
        <w:rPr>
          <w:rFonts w:hint="eastAsia"/>
        </w:rPr>
        <w:t>765</w:t>
      </w:r>
      <w:r w:rsidR="008C21CD" w:rsidRPr="000D50EC">
        <w:rPr>
          <w:rFonts w:hint="eastAsia"/>
        </w:rPr>
        <w:t>件，同比</w:t>
      </w:r>
      <w:r w:rsidR="00A56FA5">
        <w:rPr>
          <w:rFonts w:hint="eastAsia"/>
        </w:rPr>
        <w:t>增加</w:t>
      </w:r>
      <w:r w:rsidR="005B4C73">
        <w:rPr>
          <w:rFonts w:hint="eastAsia"/>
        </w:rPr>
        <w:t>3</w:t>
      </w:r>
      <w:r w:rsidR="00B35B6F">
        <w:rPr>
          <w:rFonts w:hint="eastAsia"/>
        </w:rPr>
        <w:t>20</w:t>
      </w:r>
      <w:r w:rsidR="008C21CD">
        <w:rPr>
          <w:rFonts w:hint="eastAsia"/>
        </w:rPr>
        <w:t>件，</w:t>
      </w:r>
      <w:r w:rsidR="003C10EF">
        <w:rPr>
          <w:rFonts w:hint="eastAsia"/>
        </w:rPr>
        <w:t>上升</w:t>
      </w:r>
      <w:r w:rsidR="005B4C73">
        <w:rPr>
          <w:rFonts w:hint="eastAsia"/>
        </w:rPr>
        <w:t>2</w:t>
      </w:r>
      <w:r w:rsidR="00B35B6F">
        <w:rPr>
          <w:rFonts w:hint="eastAsia"/>
        </w:rPr>
        <w:t>2.15</w:t>
      </w:r>
      <w:r w:rsidR="008C21CD" w:rsidRPr="000D50EC">
        <w:rPr>
          <w:rFonts w:hint="eastAsia"/>
        </w:rPr>
        <w:t>%</w:t>
      </w:r>
      <w:r w:rsidR="00A47A31">
        <w:rPr>
          <w:rFonts w:hint="eastAsia"/>
        </w:rPr>
        <w:t>。</w:t>
      </w:r>
    </w:p>
    <w:p w:rsidR="008C21CD" w:rsidRPr="00821A47" w:rsidRDefault="008C21CD" w:rsidP="00821A47">
      <w:pPr>
        <w:snapToGrid w:val="0"/>
        <w:spacing w:line="360" w:lineRule="auto"/>
        <w:ind w:firstLineChars="200" w:firstLine="602"/>
        <w:rPr>
          <w:rFonts w:ascii="黑体" w:eastAsia="黑体" w:hAnsi="黑体"/>
          <w:sz w:val="30"/>
          <w:szCs w:val="30"/>
        </w:rPr>
      </w:pPr>
      <w:r w:rsidRPr="00821A47">
        <w:rPr>
          <w:rFonts w:ascii="黑体" w:eastAsia="黑体" w:hAnsi="黑体" w:hint="eastAsia"/>
          <w:b/>
          <w:sz w:val="30"/>
          <w:szCs w:val="30"/>
        </w:rPr>
        <w:t>2.案件类型</w:t>
      </w:r>
    </w:p>
    <w:p w:rsidR="00A603AA" w:rsidRDefault="00636A9E" w:rsidP="00F1353A">
      <w:pPr>
        <w:tabs>
          <w:tab w:val="left" w:pos="800"/>
        </w:tabs>
        <w:snapToGrid w:val="0"/>
        <w:spacing w:line="360" w:lineRule="auto"/>
        <w:ind w:firstLineChars="200" w:firstLine="640"/>
      </w:pPr>
      <w:r>
        <w:rPr>
          <w:rFonts w:hint="eastAsia"/>
        </w:rPr>
        <w:t>2017年</w:t>
      </w:r>
      <w:r w:rsidR="00BC2ECE">
        <w:rPr>
          <w:rFonts w:hint="eastAsia"/>
        </w:rPr>
        <w:t>三季度</w:t>
      </w:r>
      <w:r w:rsidR="00A603AA">
        <w:rPr>
          <w:rFonts w:hint="eastAsia"/>
        </w:rPr>
        <w:t>和龙市人民法院各类型案件中的</w:t>
      </w:r>
      <w:r w:rsidR="00870909">
        <w:rPr>
          <w:rFonts w:hint="eastAsia"/>
        </w:rPr>
        <w:t>民事案件、</w:t>
      </w:r>
      <w:r w:rsidR="000265BC">
        <w:rPr>
          <w:rFonts w:hint="eastAsia"/>
        </w:rPr>
        <w:t>行政案件、</w:t>
      </w:r>
      <w:r w:rsidR="00870909">
        <w:rPr>
          <w:rFonts w:hint="eastAsia"/>
        </w:rPr>
        <w:t>赔偿案件</w:t>
      </w:r>
      <w:r w:rsidR="000265BC">
        <w:rPr>
          <w:rFonts w:hint="eastAsia"/>
        </w:rPr>
        <w:t>、</w:t>
      </w:r>
      <w:r w:rsidR="00BC2ECE">
        <w:rPr>
          <w:rFonts w:hint="eastAsia"/>
        </w:rPr>
        <w:t>刑罚变更案件、</w:t>
      </w:r>
      <w:r w:rsidR="000265BC">
        <w:rPr>
          <w:rFonts w:hint="eastAsia"/>
        </w:rPr>
        <w:t>执行案件</w:t>
      </w:r>
      <w:r w:rsidR="00870909">
        <w:rPr>
          <w:rFonts w:hint="eastAsia"/>
        </w:rPr>
        <w:t>新收数量均呈上升态势，</w:t>
      </w:r>
      <w:r w:rsidR="003C76E4">
        <w:rPr>
          <w:rFonts w:hint="eastAsia"/>
        </w:rPr>
        <w:t>刑事案件、</w:t>
      </w:r>
      <w:r w:rsidR="00A15DF7">
        <w:rPr>
          <w:rFonts w:hint="eastAsia"/>
        </w:rPr>
        <w:t>审查监督案件新收数量呈下降趋势。</w:t>
      </w:r>
    </w:p>
    <w:tbl>
      <w:tblPr>
        <w:tblW w:w="8959" w:type="dxa"/>
        <w:tblInd w:w="94" w:type="dxa"/>
        <w:tblLook w:val="04A0"/>
      </w:tblPr>
      <w:tblGrid>
        <w:gridCol w:w="1775"/>
        <w:gridCol w:w="1775"/>
        <w:gridCol w:w="1775"/>
        <w:gridCol w:w="1775"/>
        <w:gridCol w:w="1859"/>
      </w:tblGrid>
      <w:tr w:rsidR="001E5771" w:rsidRPr="001E5771" w:rsidTr="003A509D">
        <w:trPr>
          <w:trHeight w:val="240"/>
        </w:trPr>
        <w:tc>
          <w:tcPr>
            <w:tcW w:w="1775" w:type="dxa"/>
            <w:tcBorders>
              <w:top w:val="single" w:sz="4" w:space="0" w:color="auto"/>
              <w:left w:val="single" w:sz="4" w:space="0" w:color="auto"/>
              <w:bottom w:val="nil"/>
              <w:right w:val="single" w:sz="4" w:space="0" w:color="auto"/>
            </w:tcBorders>
            <w:shd w:val="clear" w:color="auto" w:fill="auto"/>
            <w:noWrap/>
            <w:vAlign w:val="center"/>
            <w:hideMark/>
          </w:tcPr>
          <w:p w:rsidR="001E5771" w:rsidRPr="001E5771" w:rsidRDefault="001E5771" w:rsidP="001E5771">
            <w:pPr>
              <w:widowControl/>
              <w:jc w:val="center"/>
              <w:rPr>
                <w:rFonts w:ascii="宋体" w:eastAsia="宋体" w:cs="Arial"/>
                <w:kern w:val="0"/>
                <w:sz w:val="20"/>
                <w:szCs w:val="20"/>
              </w:rPr>
            </w:pPr>
            <w:r>
              <w:rPr>
                <w:rFonts w:ascii="宋体" w:eastAsia="宋体" w:cs="Arial" w:hint="eastAsia"/>
                <w:kern w:val="0"/>
                <w:sz w:val="20"/>
                <w:szCs w:val="20"/>
              </w:rPr>
              <w:t>新收案件</w:t>
            </w:r>
          </w:p>
        </w:tc>
        <w:tc>
          <w:tcPr>
            <w:tcW w:w="1775" w:type="dxa"/>
            <w:tcBorders>
              <w:top w:val="single" w:sz="4" w:space="0" w:color="auto"/>
              <w:left w:val="nil"/>
              <w:bottom w:val="nil"/>
              <w:right w:val="single" w:sz="4" w:space="0" w:color="auto"/>
            </w:tcBorders>
            <w:shd w:val="clear" w:color="auto" w:fill="auto"/>
            <w:noWrap/>
            <w:vAlign w:val="center"/>
            <w:hideMark/>
          </w:tcPr>
          <w:p w:rsidR="001E5771" w:rsidRPr="001E5771" w:rsidRDefault="001E5771" w:rsidP="001E5771">
            <w:pPr>
              <w:widowControl/>
              <w:jc w:val="center"/>
              <w:rPr>
                <w:rFonts w:ascii="宋体" w:eastAsia="宋体" w:cs="Arial"/>
                <w:kern w:val="0"/>
                <w:sz w:val="20"/>
                <w:szCs w:val="20"/>
              </w:rPr>
            </w:pPr>
            <w:r w:rsidRPr="001E5771">
              <w:rPr>
                <w:rFonts w:ascii="宋体" w:eastAsia="宋体" w:cs="Arial" w:hint="eastAsia"/>
                <w:kern w:val="0"/>
                <w:sz w:val="20"/>
                <w:szCs w:val="20"/>
              </w:rPr>
              <w:t>2017</w:t>
            </w:r>
            <w:r w:rsidR="00F50A54">
              <w:rPr>
                <w:rFonts w:ascii="宋体" w:eastAsia="宋体" w:cs="Arial" w:hint="eastAsia"/>
                <w:kern w:val="0"/>
                <w:sz w:val="20"/>
                <w:szCs w:val="20"/>
              </w:rPr>
              <w:t>三季度</w:t>
            </w:r>
          </w:p>
        </w:tc>
        <w:tc>
          <w:tcPr>
            <w:tcW w:w="1775" w:type="dxa"/>
            <w:tcBorders>
              <w:top w:val="single" w:sz="4" w:space="0" w:color="auto"/>
              <w:left w:val="nil"/>
              <w:bottom w:val="nil"/>
              <w:right w:val="single" w:sz="4" w:space="0" w:color="auto"/>
            </w:tcBorders>
            <w:shd w:val="clear" w:color="auto" w:fill="auto"/>
            <w:noWrap/>
            <w:vAlign w:val="center"/>
            <w:hideMark/>
          </w:tcPr>
          <w:p w:rsidR="001E5771" w:rsidRPr="001E5771" w:rsidRDefault="001E5771" w:rsidP="001E5771">
            <w:pPr>
              <w:widowControl/>
              <w:jc w:val="center"/>
              <w:rPr>
                <w:rFonts w:ascii="Arial" w:eastAsia="宋体" w:hAnsi="Arial" w:cs="Arial"/>
                <w:kern w:val="0"/>
                <w:sz w:val="20"/>
                <w:szCs w:val="20"/>
              </w:rPr>
            </w:pPr>
            <w:r w:rsidRPr="001E5771">
              <w:rPr>
                <w:rFonts w:ascii="Arial" w:eastAsia="宋体" w:hAnsi="Arial" w:cs="Arial"/>
                <w:kern w:val="0"/>
                <w:sz w:val="20"/>
                <w:szCs w:val="20"/>
              </w:rPr>
              <w:t>2016</w:t>
            </w:r>
            <w:r w:rsidR="00F50A54">
              <w:rPr>
                <w:rFonts w:ascii="宋体" w:eastAsia="宋体" w:cs="Arial" w:hint="eastAsia"/>
                <w:kern w:val="0"/>
                <w:sz w:val="20"/>
                <w:szCs w:val="20"/>
              </w:rPr>
              <w:t>三季度</w:t>
            </w:r>
          </w:p>
        </w:tc>
        <w:tc>
          <w:tcPr>
            <w:tcW w:w="1775" w:type="dxa"/>
            <w:tcBorders>
              <w:top w:val="single" w:sz="4" w:space="0" w:color="auto"/>
              <w:left w:val="single" w:sz="4" w:space="0" w:color="auto"/>
              <w:bottom w:val="nil"/>
              <w:right w:val="single" w:sz="4" w:space="0" w:color="auto"/>
            </w:tcBorders>
            <w:shd w:val="clear" w:color="auto" w:fill="auto"/>
            <w:noWrap/>
            <w:vAlign w:val="center"/>
            <w:hideMark/>
          </w:tcPr>
          <w:p w:rsidR="001E5771" w:rsidRPr="001E5771" w:rsidRDefault="001E5771" w:rsidP="001E5771">
            <w:pPr>
              <w:widowControl/>
              <w:jc w:val="center"/>
              <w:rPr>
                <w:rFonts w:ascii="Arial" w:eastAsia="宋体" w:hAnsi="Arial" w:cs="Arial"/>
                <w:kern w:val="0"/>
                <w:sz w:val="20"/>
                <w:szCs w:val="20"/>
              </w:rPr>
            </w:pPr>
            <w:r>
              <w:rPr>
                <w:rFonts w:ascii="Arial" w:eastAsia="宋体" w:hAnsi="Arial" w:cs="Arial" w:hint="eastAsia"/>
                <w:kern w:val="0"/>
                <w:sz w:val="20"/>
                <w:szCs w:val="20"/>
              </w:rPr>
              <w:t>同比（件）</w:t>
            </w:r>
          </w:p>
        </w:tc>
        <w:tc>
          <w:tcPr>
            <w:tcW w:w="1859" w:type="dxa"/>
            <w:tcBorders>
              <w:top w:val="single" w:sz="4" w:space="0" w:color="auto"/>
              <w:left w:val="single" w:sz="4" w:space="0" w:color="auto"/>
              <w:bottom w:val="nil"/>
              <w:right w:val="single" w:sz="4" w:space="0" w:color="auto"/>
            </w:tcBorders>
            <w:shd w:val="clear" w:color="auto" w:fill="auto"/>
            <w:noWrap/>
            <w:vAlign w:val="center"/>
            <w:hideMark/>
          </w:tcPr>
          <w:p w:rsidR="001E5771" w:rsidRPr="001E5771" w:rsidRDefault="001E5771" w:rsidP="001E5771">
            <w:pPr>
              <w:widowControl/>
              <w:jc w:val="center"/>
              <w:rPr>
                <w:rFonts w:ascii="Arial" w:eastAsia="宋体" w:hAnsi="Arial" w:cs="Arial"/>
                <w:kern w:val="0"/>
                <w:sz w:val="20"/>
                <w:szCs w:val="20"/>
              </w:rPr>
            </w:pPr>
            <w:r>
              <w:rPr>
                <w:rFonts w:ascii="Arial" w:eastAsia="宋体" w:hAnsi="Arial" w:cs="Arial" w:hint="eastAsia"/>
                <w:kern w:val="0"/>
                <w:sz w:val="20"/>
                <w:szCs w:val="20"/>
              </w:rPr>
              <w:t>同比（</w:t>
            </w:r>
            <w:r>
              <w:rPr>
                <w:rFonts w:ascii="Arial" w:eastAsia="宋体" w:hAnsi="Arial" w:cs="Arial" w:hint="eastAsia"/>
                <w:kern w:val="0"/>
                <w:sz w:val="20"/>
                <w:szCs w:val="20"/>
              </w:rPr>
              <w:t>%</w:t>
            </w:r>
            <w:r>
              <w:rPr>
                <w:rFonts w:ascii="Arial" w:eastAsia="宋体" w:hAnsi="Arial" w:cs="Arial" w:hint="eastAsia"/>
                <w:kern w:val="0"/>
                <w:sz w:val="20"/>
                <w:szCs w:val="20"/>
              </w:rPr>
              <w:t>）</w:t>
            </w:r>
          </w:p>
        </w:tc>
      </w:tr>
      <w:tr w:rsidR="001E5771" w:rsidRPr="001E5771" w:rsidTr="003A509D">
        <w:trPr>
          <w:trHeight w:val="240"/>
        </w:trPr>
        <w:tc>
          <w:tcPr>
            <w:tcW w:w="1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771" w:rsidRPr="001E5771" w:rsidRDefault="001E5771" w:rsidP="001E5771">
            <w:pPr>
              <w:widowControl/>
              <w:jc w:val="center"/>
              <w:rPr>
                <w:rFonts w:ascii="宋体" w:eastAsia="宋体" w:cs="Arial"/>
                <w:kern w:val="0"/>
                <w:sz w:val="20"/>
                <w:szCs w:val="20"/>
              </w:rPr>
            </w:pPr>
            <w:r w:rsidRPr="001E5771">
              <w:rPr>
                <w:rFonts w:ascii="宋体" w:eastAsia="宋体" w:cs="Arial" w:hint="eastAsia"/>
                <w:kern w:val="0"/>
                <w:sz w:val="20"/>
                <w:szCs w:val="20"/>
              </w:rPr>
              <w:t>刑事</w:t>
            </w:r>
            <w:r>
              <w:rPr>
                <w:rFonts w:ascii="宋体" w:eastAsia="宋体" w:cs="Arial" w:hint="eastAsia"/>
                <w:kern w:val="0"/>
                <w:sz w:val="20"/>
                <w:szCs w:val="20"/>
              </w:rPr>
              <w:t>案件</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rsidR="001E5771" w:rsidRPr="001E5771" w:rsidRDefault="00CC09EF" w:rsidP="001E5771">
            <w:pPr>
              <w:widowControl/>
              <w:jc w:val="center"/>
              <w:rPr>
                <w:rFonts w:ascii="Arial" w:eastAsia="宋体" w:hAnsi="Arial" w:cs="Arial"/>
                <w:kern w:val="0"/>
                <w:sz w:val="20"/>
                <w:szCs w:val="20"/>
              </w:rPr>
            </w:pPr>
            <w:r>
              <w:rPr>
                <w:rFonts w:ascii="Arial" w:eastAsia="宋体" w:hAnsi="Arial" w:cs="Arial" w:hint="eastAsia"/>
                <w:kern w:val="0"/>
                <w:sz w:val="20"/>
                <w:szCs w:val="20"/>
              </w:rPr>
              <w:t>102</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rsidR="001E5771" w:rsidRPr="001E5771" w:rsidRDefault="00CC09EF" w:rsidP="001E5771">
            <w:pPr>
              <w:widowControl/>
              <w:jc w:val="center"/>
              <w:rPr>
                <w:rFonts w:ascii="Arial" w:eastAsia="宋体" w:hAnsi="Arial" w:cs="Arial"/>
                <w:kern w:val="0"/>
                <w:sz w:val="20"/>
                <w:szCs w:val="20"/>
              </w:rPr>
            </w:pPr>
            <w:r>
              <w:rPr>
                <w:rFonts w:ascii="Arial" w:eastAsia="宋体" w:hAnsi="Arial" w:cs="Arial" w:hint="eastAsia"/>
                <w:kern w:val="0"/>
                <w:sz w:val="20"/>
                <w:szCs w:val="20"/>
              </w:rPr>
              <w:t>105</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rsidR="001E5771" w:rsidRPr="001E5771" w:rsidRDefault="00A20D98" w:rsidP="001E5771">
            <w:pPr>
              <w:widowControl/>
              <w:jc w:val="center"/>
              <w:rPr>
                <w:rFonts w:ascii="Arial" w:eastAsia="宋体" w:hAnsi="Arial" w:cs="Arial"/>
                <w:kern w:val="0"/>
                <w:sz w:val="20"/>
                <w:szCs w:val="20"/>
              </w:rPr>
            </w:pPr>
            <w:r>
              <w:rPr>
                <w:rFonts w:ascii="Arial" w:eastAsia="宋体" w:hAnsi="Arial" w:cs="Arial" w:hint="eastAsia"/>
                <w:kern w:val="0"/>
                <w:sz w:val="20"/>
                <w:szCs w:val="20"/>
              </w:rPr>
              <w:t>-3</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rsidR="001E5771" w:rsidRPr="001E5771" w:rsidRDefault="00BC09C4" w:rsidP="001E5771">
            <w:pPr>
              <w:widowControl/>
              <w:jc w:val="center"/>
              <w:rPr>
                <w:rFonts w:ascii="Arial" w:eastAsia="宋体" w:hAnsi="Arial" w:cs="Arial"/>
                <w:kern w:val="0"/>
                <w:sz w:val="20"/>
                <w:szCs w:val="20"/>
              </w:rPr>
            </w:pPr>
            <w:r>
              <w:rPr>
                <w:rFonts w:ascii="Arial" w:eastAsia="宋体" w:hAnsi="Arial" w:cs="Arial" w:hint="eastAsia"/>
                <w:kern w:val="0"/>
                <w:sz w:val="20"/>
                <w:szCs w:val="20"/>
              </w:rPr>
              <w:t>-</w:t>
            </w:r>
            <w:r w:rsidR="00A20D98">
              <w:rPr>
                <w:rFonts w:ascii="Arial" w:eastAsia="宋体" w:hAnsi="Arial" w:cs="Arial" w:hint="eastAsia"/>
                <w:kern w:val="0"/>
                <w:sz w:val="20"/>
                <w:szCs w:val="20"/>
              </w:rPr>
              <w:t>2.86%</w:t>
            </w:r>
          </w:p>
        </w:tc>
      </w:tr>
      <w:tr w:rsidR="001E5771" w:rsidRPr="001E5771" w:rsidTr="003A509D">
        <w:trPr>
          <w:trHeight w:val="240"/>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1E5771" w:rsidRPr="001E5771" w:rsidRDefault="001E5771" w:rsidP="001E5771">
            <w:pPr>
              <w:widowControl/>
              <w:jc w:val="center"/>
              <w:rPr>
                <w:rFonts w:ascii="宋体" w:eastAsia="宋体" w:cs="Arial"/>
                <w:kern w:val="0"/>
                <w:sz w:val="20"/>
                <w:szCs w:val="20"/>
              </w:rPr>
            </w:pPr>
            <w:r>
              <w:rPr>
                <w:rFonts w:ascii="宋体" w:eastAsia="宋体" w:cs="Arial" w:hint="eastAsia"/>
                <w:kern w:val="0"/>
                <w:sz w:val="20"/>
                <w:szCs w:val="20"/>
              </w:rPr>
              <w:t>刑罚变更案件</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E5771" w:rsidRDefault="00CC09EF" w:rsidP="001E5771">
            <w:pPr>
              <w:widowControl/>
              <w:jc w:val="center"/>
              <w:rPr>
                <w:rFonts w:ascii="Arial" w:eastAsia="宋体" w:hAnsi="Arial" w:cs="Arial"/>
                <w:kern w:val="0"/>
                <w:sz w:val="20"/>
                <w:szCs w:val="20"/>
              </w:rPr>
            </w:pPr>
            <w:r>
              <w:rPr>
                <w:rFonts w:ascii="Arial" w:eastAsia="宋体" w:hAnsi="Arial" w:cs="Arial" w:hint="eastAsia"/>
                <w:kern w:val="0"/>
                <w:sz w:val="20"/>
                <w:szCs w:val="20"/>
              </w:rPr>
              <w:t>4</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E5771" w:rsidRDefault="001E5771" w:rsidP="001E5771">
            <w:pPr>
              <w:widowControl/>
              <w:jc w:val="center"/>
              <w:rPr>
                <w:rFonts w:ascii="Arial" w:eastAsia="宋体" w:hAnsi="Arial" w:cs="Arial"/>
                <w:kern w:val="0"/>
                <w:sz w:val="20"/>
                <w:szCs w:val="20"/>
              </w:rPr>
            </w:pPr>
            <w:r w:rsidRPr="001E5771">
              <w:rPr>
                <w:rFonts w:ascii="Arial" w:eastAsia="宋体" w:hAnsi="Arial" w:cs="Arial"/>
                <w:kern w:val="0"/>
                <w:sz w:val="20"/>
                <w:szCs w:val="20"/>
              </w:rPr>
              <w:t>3</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E5771" w:rsidRDefault="00A20D98" w:rsidP="001E5771">
            <w:pPr>
              <w:widowControl/>
              <w:jc w:val="center"/>
              <w:rPr>
                <w:rFonts w:ascii="Arial" w:eastAsia="宋体" w:hAnsi="Arial" w:cs="Arial"/>
                <w:kern w:val="0"/>
                <w:sz w:val="20"/>
                <w:szCs w:val="20"/>
              </w:rPr>
            </w:pPr>
            <w:r>
              <w:rPr>
                <w:rFonts w:ascii="Arial" w:eastAsia="宋体" w:hAnsi="Arial" w:cs="Arial" w:hint="eastAsia"/>
                <w:kern w:val="0"/>
                <w:sz w:val="20"/>
                <w:szCs w:val="20"/>
              </w:rPr>
              <w:t>1</w:t>
            </w:r>
          </w:p>
        </w:tc>
        <w:tc>
          <w:tcPr>
            <w:tcW w:w="1859" w:type="dxa"/>
            <w:tcBorders>
              <w:top w:val="nil"/>
              <w:left w:val="nil"/>
              <w:bottom w:val="single" w:sz="4" w:space="0" w:color="auto"/>
              <w:right w:val="single" w:sz="4" w:space="0" w:color="auto"/>
            </w:tcBorders>
            <w:shd w:val="clear" w:color="auto" w:fill="auto"/>
            <w:noWrap/>
            <w:vAlign w:val="center"/>
            <w:hideMark/>
          </w:tcPr>
          <w:p w:rsidR="001E5771" w:rsidRPr="001E5771" w:rsidRDefault="00A20D98" w:rsidP="001E5771">
            <w:pPr>
              <w:widowControl/>
              <w:jc w:val="center"/>
              <w:rPr>
                <w:rFonts w:ascii="Arial" w:eastAsia="宋体" w:hAnsi="Arial" w:cs="Arial"/>
                <w:kern w:val="0"/>
                <w:sz w:val="20"/>
                <w:szCs w:val="20"/>
              </w:rPr>
            </w:pPr>
            <w:r>
              <w:rPr>
                <w:rFonts w:ascii="Arial" w:eastAsia="宋体" w:hAnsi="Arial" w:cs="Arial" w:hint="eastAsia"/>
                <w:kern w:val="0"/>
                <w:sz w:val="20"/>
                <w:szCs w:val="20"/>
              </w:rPr>
              <w:t>33.33%</w:t>
            </w:r>
          </w:p>
        </w:tc>
      </w:tr>
      <w:tr w:rsidR="001E5771" w:rsidRPr="001E5771" w:rsidTr="003A509D">
        <w:trPr>
          <w:trHeight w:val="240"/>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1E5771" w:rsidRPr="001E5771" w:rsidRDefault="001E5771" w:rsidP="001E5771">
            <w:pPr>
              <w:widowControl/>
              <w:jc w:val="center"/>
              <w:rPr>
                <w:rFonts w:ascii="宋体" w:eastAsia="宋体" w:cs="Arial"/>
                <w:kern w:val="0"/>
                <w:sz w:val="20"/>
                <w:szCs w:val="20"/>
              </w:rPr>
            </w:pPr>
            <w:r w:rsidRPr="001E5771">
              <w:rPr>
                <w:rFonts w:ascii="宋体" w:eastAsia="宋体" w:cs="Arial" w:hint="eastAsia"/>
                <w:kern w:val="0"/>
                <w:sz w:val="20"/>
                <w:szCs w:val="20"/>
              </w:rPr>
              <w:t>民事</w:t>
            </w:r>
            <w:r>
              <w:rPr>
                <w:rFonts w:ascii="宋体" w:eastAsia="宋体" w:cs="Arial" w:hint="eastAsia"/>
                <w:kern w:val="0"/>
                <w:sz w:val="20"/>
                <w:szCs w:val="20"/>
              </w:rPr>
              <w:t>案件</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E5771" w:rsidRDefault="00CC09EF" w:rsidP="001E5771">
            <w:pPr>
              <w:widowControl/>
              <w:jc w:val="center"/>
              <w:rPr>
                <w:rFonts w:ascii="Arial" w:eastAsia="宋体" w:hAnsi="Arial" w:cs="Arial"/>
                <w:kern w:val="0"/>
                <w:sz w:val="20"/>
                <w:szCs w:val="20"/>
              </w:rPr>
            </w:pPr>
            <w:r>
              <w:rPr>
                <w:rFonts w:ascii="Arial" w:eastAsia="宋体" w:hAnsi="Arial" w:cs="Arial" w:hint="eastAsia"/>
                <w:kern w:val="0"/>
                <w:sz w:val="20"/>
                <w:szCs w:val="20"/>
              </w:rPr>
              <w:t>1015</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E5771" w:rsidRDefault="00CC09EF" w:rsidP="001E5771">
            <w:pPr>
              <w:widowControl/>
              <w:jc w:val="center"/>
              <w:rPr>
                <w:rFonts w:ascii="Arial" w:eastAsia="宋体" w:hAnsi="Arial" w:cs="Arial"/>
                <w:kern w:val="0"/>
                <w:sz w:val="20"/>
                <w:szCs w:val="20"/>
              </w:rPr>
            </w:pPr>
            <w:r>
              <w:rPr>
                <w:rFonts w:ascii="Arial" w:eastAsia="宋体" w:hAnsi="Arial" w:cs="Arial" w:hint="eastAsia"/>
                <w:kern w:val="0"/>
                <w:sz w:val="20"/>
                <w:szCs w:val="20"/>
              </w:rPr>
              <w:t>816</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E5771" w:rsidRDefault="00A20D98" w:rsidP="001E5771">
            <w:pPr>
              <w:widowControl/>
              <w:jc w:val="center"/>
              <w:rPr>
                <w:rFonts w:ascii="Arial" w:eastAsia="宋体" w:hAnsi="Arial" w:cs="Arial"/>
                <w:kern w:val="0"/>
                <w:sz w:val="20"/>
                <w:szCs w:val="20"/>
              </w:rPr>
            </w:pPr>
            <w:r>
              <w:rPr>
                <w:rFonts w:ascii="Arial" w:eastAsia="宋体" w:hAnsi="Arial" w:cs="Arial" w:hint="eastAsia"/>
                <w:kern w:val="0"/>
                <w:sz w:val="20"/>
                <w:szCs w:val="20"/>
              </w:rPr>
              <w:t>199</w:t>
            </w:r>
          </w:p>
        </w:tc>
        <w:tc>
          <w:tcPr>
            <w:tcW w:w="1859" w:type="dxa"/>
            <w:tcBorders>
              <w:top w:val="nil"/>
              <w:left w:val="nil"/>
              <w:bottom w:val="single" w:sz="4" w:space="0" w:color="auto"/>
              <w:right w:val="single" w:sz="4" w:space="0" w:color="auto"/>
            </w:tcBorders>
            <w:shd w:val="clear" w:color="auto" w:fill="auto"/>
            <w:noWrap/>
            <w:vAlign w:val="center"/>
            <w:hideMark/>
          </w:tcPr>
          <w:p w:rsidR="001E5771" w:rsidRPr="001E5771" w:rsidRDefault="00A20D98" w:rsidP="001E5771">
            <w:pPr>
              <w:widowControl/>
              <w:jc w:val="center"/>
              <w:rPr>
                <w:rFonts w:ascii="Arial" w:eastAsia="宋体" w:hAnsi="Arial" w:cs="Arial"/>
                <w:kern w:val="0"/>
                <w:sz w:val="20"/>
                <w:szCs w:val="20"/>
              </w:rPr>
            </w:pPr>
            <w:r>
              <w:rPr>
                <w:rFonts w:ascii="Arial" w:eastAsia="宋体" w:hAnsi="Arial" w:cs="Arial" w:hint="eastAsia"/>
                <w:kern w:val="0"/>
                <w:sz w:val="20"/>
                <w:szCs w:val="20"/>
              </w:rPr>
              <w:t>24.39</w:t>
            </w:r>
            <w:r w:rsidR="001E5771" w:rsidRPr="001E5771">
              <w:rPr>
                <w:rFonts w:ascii="Arial" w:eastAsia="宋体" w:hAnsi="Arial" w:cs="Arial"/>
                <w:kern w:val="0"/>
                <w:sz w:val="20"/>
                <w:szCs w:val="20"/>
              </w:rPr>
              <w:t>%</w:t>
            </w:r>
          </w:p>
        </w:tc>
      </w:tr>
      <w:tr w:rsidR="001E5771" w:rsidRPr="001E5771" w:rsidTr="003A509D">
        <w:trPr>
          <w:trHeight w:val="240"/>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1E5771" w:rsidRPr="001E5771" w:rsidRDefault="001E5771" w:rsidP="001E5771">
            <w:pPr>
              <w:widowControl/>
              <w:jc w:val="center"/>
              <w:rPr>
                <w:rFonts w:ascii="宋体" w:eastAsia="宋体" w:cs="Arial"/>
                <w:kern w:val="0"/>
                <w:sz w:val="20"/>
                <w:szCs w:val="20"/>
              </w:rPr>
            </w:pPr>
            <w:r w:rsidRPr="001E5771">
              <w:rPr>
                <w:rFonts w:ascii="宋体" w:eastAsia="宋体" w:cs="Arial" w:hint="eastAsia"/>
                <w:kern w:val="0"/>
                <w:sz w:val="20"/>
                <w:szCs w:val="20"/>
              </w:rPr>
              <w:t>行政</w:t>
            </w:r>
            <w:r>
              <w:rPr>
                <w:rFonts w:ascii="宋体" w:eastAsia="宋体" w:cs="Arial" w:hint="eastAsia"/>
                <w:kern w:val="0"/>
                <w:sz w:val="20"/>
                <w:szCs w:val="20"/>
              </w:rPr>
              <w:t>案件</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E5771" w:rsidRDefault="00CC09EF" w:rsidP="001E5771">
            <w:pPr>
              <w:widowControl/>
              <w:jc w:val="center"/>
              <w:rPr>
                <w:rFonts w:ascii="Arial" w:eastAsia="宋体" w:hAnsi="Arial" w:cs="Arial"/>
                <w:kern w:val="0"/>
                <w:sz w:val="20"/>
                <w:szCs w:val="20"/>
              </w:rPr>
            </w:pPr>
            <w:r>
              <w:rPr>
                <w:rFonts w:ascii="Arial" w:eastAsia="宋体" w:hAnsi="Arial" w:cs="Arial" w:hint="eastAsia"/>
                <w:kern w:val="0"/>
                <w:sz w:val="20"/>
                <w:szCs w:val="20"/>
              </w:rPr>
              <w:t>45</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E5771" w:rsidRDefault="00CC09EF" w:rsidP="001E5771">
            <w:pPr>
              <w:widowControl/>
              <w:jc w:val="center"/>
              <w:rPr>
                <w:rFonts w:ascii="Arial" w:eastAsia="宋体" w:hAnsi="Arial" w:cs="Arial"/>
                <w:kern w:val="0"/>
                <w:sz w:val="20"/>
                <w:szCs w:val="20"/>
              </w:rPr>
            </w:pPr>
            <w:r>
              <w:rPr>
                <w:rFonts w:ascii="Arial" w:eastAsia="宋体" w:hAnsi="Arial" w:cs="Arial" w:hint="eastAsia"/>
                <w:kern w:val="0"/>
                <w:sz w:val="20"/>
                <w:szCs w:val="20"/>
              </w:rPr>
              <w:t>35</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E5771" w:rsidRDefault="00A20D98" w:rsidP="001E5771">
            <w:pPr>
              <w:widowControl/>
              <w:jc w:val="center"/>
              <w:rPr>
                <w:rFonts w:ascii="Arial" w:eastAsia="宋体" w:hAnsi="Arial" w:cs="Arial"/>
                <w:kern w:val="0"/>
                <w:sz w:val="20"/>
                <w:szCs w:val="20"/>
              </w:rPr>
            </w:pPr>
            <w:r>
              <w:rPr>
                <w:rFonts w:ascii="Arial" w:eastAsia="宋体" w:hAnsi="Arial" w:cs="Arial" w:hint="eastAsia"/>
                <w:kern w:val="0"/>
                <w:sz w:val="20"/>
                <w:szCs w:val="20"/>
              </w:rPr>
              <w:t>10</w:t>
            </w:r>
          </w:p>
        </w:tc>
        <w:tc>
          <w:tcPr>
            <w:tcW w:w="1859" w:type="dxa"/>
            <w:tcBorders>
              <w:top w:val="nil"/>
              <w:left w:val="nil"/>
              <w:bottom w:val="single" w:sz="4" w:space="0" w:color="auto"/>
              <w:right w:val="single" w:sz="4" w:space="0" w:color="auto"/>
            </w:tcBorders>
            <w:shd w:val="clear" w:color="auto" w:fill="auto"/>
            <w:noWrap/>
            <w:vAlign w:val="center"/>
            <w:hideMark/>
          </w:tcPr>
          <w:p w:rsidR="001E5771" w:rsidRPr="001E5771" w:rsidRDefault="00A20D98" w:rsidP="001E5771">
            <w:pPr>
              <w:widowControl/>
              <w:jc w:val="center"/>
              <w:rPr>
                <w:rFonts w:ascii="Arial" w:eastAsia="宋体" w:hAnsi="Arial" w:cs="Arial"/>
                <w:kern w:val="0"/>
                <w:sz w:val="20"/>
                <w:szCs w:val="20"/>
              </w:rPr>
            </w:pPr>
            <w:r>
              <w:rPr>
                <w:rFonts w:ascii="Arial" w:eastAsia="宋体" w:hAnsi="Arial" w:cs="Arial" w:hint="eastAsia"/>
                <w:kern w:val="0"/>
                <w:sz w:val="20"/>
                <w:szCs w:val="20"/>
              </w:rPr>
              <w:t>28.57</w:t>
            </w:r>
            <w:r w:rsidR="001E5771" w:rsidRPr="001E5771">
              <w:rPr>
                <w:rFonts w:ascii="Arial" w:eastAsia="宋体" w:hAnsi="Arial" w:cs="Arial"/>
                <w:kern w:val="0"/>
                <w:sz w:val="20"/>
                <w:szCs w:val="20"/>
              </w:rPr>
              <w:t>%</w:t>
            </w:r>
          </w:p>
        </w:tc>
      </w:tr>
      <w:tr w:rsidR="001E5771" w:rsidRPr="001E5771" w:rsidTr="003A509D">
        <w:trPr>
          <w:trHeight w:val="240"/>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1E5771" w:rsidRPr="001E5771" w:rsidRDefault="001E5771" w:rsidP="001E5771">
            <w:pPr>
              <w:widowControl/>
              <w:jc w:val="center"/>
              <w:rPr>
                <w:rFonts w:ascii="宋体" w:eastAsia="宋体" w:cs="Arial"/>
                <w:kern w:val="0"/>
                <w:sz w:val="20"/>
                <w:szCs w:val="20"/>
              </w:rPr>
            </w:pPr>
            <w:r w:rsidRPr="001E5771">
              <w:rPr>
                <w:rFonts w:ascii="宋体" w:eastAsia="宋体" w:cs="Arial" w:hint="eastAsia"/>
                <w:kern w:val="0"/>
                <w:sz w:val="20"/>
                <w:szCs w:val="20"/>
              </w:rPr>
              <w:t>赔偿</w:t>
            </w:r>
            <w:r>
              <w:rPr>
                <w:rFonts w:ascii="宋体" w:eastAsia="宋体" w:cs="Arial" w:hint="eastAsia"/>
                <w:kern w:val="0"/>
                <w:sz w:val="20"/>
                <w:szCs w:val="20"/>
              </w:rPr>
              <w:t>案件</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E5771" w:rsidRDefault="00F50A54" w:rsidP="001E5771">
            <w:pPr>
              <w:widowControl/>
              <w:jc w:val="center"/>
              <w:rPr>
                <w:rFonts w:ascii="Arial" w:eastAsia="宋体" w:hAnsi="Arial" w:cs="Arial"/>
                <w:kern w:val="0"/>
                <w:sz w:val="20"/>
                <w:szCs w:val="20"/>
              </w:rPr>
            </w:pPr>
            <w:r>
              <w:rPr>
                <w:rFonts w:ascii="Arial" w:eastAsia="宋体" w:hAnsi="Arial" w:cs="Arial" w:hint="eastAsia"/>
                <w:kern w:val="0"/>
                <w:sz w:val="20"/>
                <w:szCs w:val="20"/>
              </w:rPr>
              <w:t>5</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E5771" w:rsidRDefault="001E5771" w:rsidP="001E5771">
            <w:pPr>
              <w:widowControl/>
              <w:jc w:val="center"/>
              <w:rPr>
                <w:rFonts w:ascii="Arial" w:eastAsia="宋体" w:hAnsi="Arial" w:cs="Arial"/>
                <w:kern w:val="0"/>
                <w:sz w:val="20"/>
                <w:szCs w:val="20"/>
              </w:rPr>
            </w:pPr>
            <w:r w:rsidRPr="001E5771">
              <w:rPr>
                <w:rFonts w:ascii="Arial" w:eastAsia="宋体" w:hAnsi="Arial" w:cs="Arial"/>
                <w:kern w:val="0"/>
                <w:sz w:val="20"/>
                <w:szCs w:val="20"/>
              </w:rPr>
              <w:t>1</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E5771" w:rsidRDefault="00A20D98" w:rsidP="001E5771">
            <w:pPr>
              <w:widowControl/>
              <w:jc w:val="center"/>
              <w:rPr>
                <w:rFonts w:ascii="Arial" w:eastAsia="宋体" w:hAnsi="Arial" w:cs="Arial"/>
                <w:kern w:val="0"/>
                <w:sz w:val="20"/>
                <w:szCs w:val="20"/>
              </w:rPr>
            </w:pPr>
            <w:r>
              <w:rPr>
                <w:rFonts w:ascii="Arial" w:eastAsia="宋体" w:hAnsi="Arial" w:cs="Arial" w:hint="eastAsia"/>
                <w:kern w:val="0"/>
                <w:sz w:val="20"/>
                <w:szCs w:val="20"/>
              </w:rPr>
              <w:t>4</w:t>
            </w:r>
          </w:p>
        </w:tc>
        <w:tc>
          <w:tcPr>
            <w:tcW w:w="1859" w:type="dxa"/>
            <w:tcBorders>
              <w:top w:val="nil"/>
              <w:left w:val="nil"/>
              <w:bottom w:val="single" w:sz="4" w:space="0" w:color="auto"/>
              <w:right w:val="single" w:sz="4" w:space="0" w:color="auto"/>
            </w:tcBorders>
            <w:shd w:val="clear" w:color="auto" w:fill="auto"/>
            <w:noWrap/>
            <w:vAlign w:val="center"/>
            <w:hideMark/>
          </w:tcPr>
          <w:p w:rsidR="001E5771" w:rsidRPr="001E5771" w:rsidRDefault="00A20D98" w:rsidP="001E5771">
            <w:pPr>
              <w:widowControl/>
              <w:jc w:val="center"/>
              <w:rPr>
                <w:rFonts w:ascii="Arial" w:eastAsia="宋体" w:hAnsi="Arial" w:cs="Arial"/>
                <w:kern w:val="0"/>
                <w:sz w:val="20"/>
                <w:szCs w:val="20"/>
              </w:rPr>
            </w:pPr>
            <w:r>
              <w:rPr>
                <w:rFonts w:ascii="Arial" w:eastAsia="宋体" w:hAnsi="Arial" w:cs="Arial" w:hint="eastAsia"/>
                <w:kern w:val="0"/>
                <w:sz w:val="20"/>
                <w:szCs w:val="20"/>
              </w:rPr>
              <w:t>400.00</w:t>
            </w:r>
            <w:r w:rsidR="001E5771" w:rsidRPr="001E5771">
              <w:rPr>
                <w:rFonts w:ascii="Arial" w:eastAsia="宋体" w:hAnsi="Arial" w:cs="Arial"/>
                <w:kern w:val="0"/>
                <w:sz w:val="20"/>
                <w:szCs w:val="20"/>
              </w:rPr>
              <w:t>%</w:t>
            </w:r>
          </w:p>
        </w:tc>
      </w:tr>
      <w:tr w:rsidR="001E5771" w:rsidRPr="001E5771" w:rsidTr="003A509D">
        <w:trPr>
          <w:trHeight w:val="240"/>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1E5771" w:rsidRPr="001E5771" w:rsidRDefault="001E5771" w:rsidP="001E5771">
            <w:pPr>
              <w:widowControl/>
              <w:jc w:val="center"/>
              <w:rPr>
                <w:rFonts w:ascii="宋体" w:eastAsia="宋体" w:cs="Arial"/>
                <w:kern w:val="0"/>
                <w:sz w:val="20"/>
                <w:szCs w:val="20"/>
              </w:rPr>
            </w:pPr>
            <w:r>
              <w:rPr>
                <w:rFonts w:ascii="宋体" w:eastAsia="宋体" w:cs="Arial" w:hint="eastAsia"/>
                <w:kern w:val="0"/>
                <w:sz w:val="20"/>
                <w:szCs w:val="20"/>
              </w:rPr>
              <w:t>审查监督案件</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E5771" w:rsidRDefault="001E5771" w:rsidP="001E5771">
            <w:pPr>
              <w:widowControl/>
              <w:jc w:val="center"/>
              <w:rPr>
                <w:rFonts w:ascii="Arial" w:eastAsia="宋体" w:hAnsi="Arial" w:cs="Arial"/>
                <w:kern w:val="0"/>
                <w:sz w:val="20"/>
                <w:szCs w:val="20"/>
              </w:rPr>
            </w:pPr>
            <w:r w:rsidRPr="001E5771">
              <w:rPr>
                <w:rFonts w:ascii="Arial" w:eastAsia="宋体" w:hAnsi="Arial" w:cs="Arial"/>
                <w:kern w:val="0"/>
                <w:sz w:val="20"/>
                <w:szCs w:val="20"/>
              </w:rPr>
              <w:t>2</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E5771" w:rsidRDefault="001E5771" w:rsidP="001E5771">
            <w:pPr>
              <w:widowControl/>
              <w:jc w:val="center"/>
              <w:rPr>
                <w:rFonts w:ascii="Arial" w:eastAsia="宋体" w:hAnsi="Arial" w:cs="Arial"/>
                <w:kern w:val="0"/>
                <w:sz w:val="20"/>
                <w:szCs w:val="20"/>
              </w:rPr>
            </w:pPr>
            <w:r w:rsidRPr="001E5771">
              <w:rPr>
                <w:rFonts w:ascii="Arial" w:eastAsia="宋体" w:hAnsi="Arial" w:cs="Arial"/>
                <w:kern w:val="0"/>
                <w:sz w:val="20"/>
                <w:szCs w:val="20"/>
              </w:rPr>
              <w:t>4</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E5771" w:rsidRDefault="00A20D98" w:rsidP="001E5771">
            <w:pPr>
              <w:widowControl/>
              <w:jc w:val="center"/>
              <w:rPr>
                <w:rFonts w:ascii="Arial" w:eastAsia="宋体" w:hAnsi="Arial" w:cs="Arial"/>
                <w:kern w:val="0"/>
                <w:sz w:val="20"/>
                <w:szCs w:val="20"/>
              </w:rPr>
            </w:pPr>
            <w:r>
              <w:rPr>
                <w:rFonts w:ascii="Arial" w:eastAsia="宋体" w:hAnsi="Arial" w:cs="Arial" w:hint="eastAsia"/>
                <w:kern w:val="0"/>
                <w:sz w:val="20"/>
                <w:szCs w:val="20"/>
              </w:rPr>
              <w:t>-2</w:t>
            </w:r>
          </w:p>
        </w:tc>
        <w:tc>
          <w:tcPr>
            <w:tcW w:w="1859" w:type="dxa"/>
            <w:tcBorders>
              <w:top w:val="nil"/>
              <w:left w:val="nil"/>
              <w:bottom w:val="single" w:sz="4" w:space="0" w:color="auto"/>
              <w:right w:val="single" w:sz="4" w:space="0" w:color="auto"/>
            </w:tcBorders>
            <w:shd w:val="clear" w:color="auto" w:fill="auto"/>
            <w:noWrap/>
            <w:vAlign w:val="center"/>
            <w:hideMark/>
          </w:tcPr>
          <w:p w:rsidR="001E5771" w:rsidRPr="001E5771" w:rsidRDefault="00A20D98" w:rsidP="001E5771">
            <w:pPr>
              <w:widowControl/>
              <w:jc w:val="center"/>
              <w:rPr>
                <w:rFonts w:ascii="Arial" w:eastAsia="宋体" w:hAnsi="Arial" w:cs="Arial"/>
                <w:kern w:val="0"/>
                <w:sz w:val="20"/>
                <w:szCs w:val="20"/>
              </w:rPr>
            </w:pPr>
            <w:r>
              <w:rPr>
                <w:rFonts w:ascii="Arial" w:eastAsia="宋体" w:hAnsi="Arial" w:cs="Arial" w:hint="eastAsia"/>
                <w:kern w:val="0"/>
                <w:sz w:val="20"/>
                <w:szCs w:val="20"/>
              </w:rPr>
              <w:t>-50.00</w:t>
            </w:r>
            <w:r w:rsidR="001E5771" w:rsidRPr="001E5771">
              <w:rPr>
                <w:rFonts w:ascii="Arial" w:eastAsia="宋体" w:hAnsi="Arial" w:cs="Arial"/>
                <w:kern w:val="0"/>
                <w:sz w:val="20"/>
                <w:szCs w:val="20"/>
              </w:rPr>
              <w:t>%</w:t>
            </w:r>
          </w:p>
        </w:tc>
      </w:tr>
      <w:tr w:rsidR="001E5771" w:rsidRPr="001E5771" w:rsidTr="003A509D">
        <w:trPr>
          <w:trHeight w:val="240"/>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1E5771" w:rsidRPr="001E5771" w:rsidRDefault="001E5771" w:rsidP="001E5771">
            <w:pPr>
              <w:widowControl/>
              <w:jc w:val="center"/>
              <w:rPr>
                <w:rFonts w:ascii="宋体" w:eastAsia="宋体" w:cs="Arial"/>
                <w:kern w:val="0"/>
                <w:sz w:val="20"/>
                <w:szCs w:val="20"/>
              </w:rPr>
            </w:pPr>
            <w:r w:rsidRPr="001E5771">
              <w:rPr>
                <w:rFonts w:ascii="宋体" w:eastAsia="宋体" w:cs="Arial" w:hint="eastAsia"/>
                <w:kern w:val="0"/>
                <w:sz w:val="20"/>
                <w:szCs w:val="20"/>
              </w:rPr>
              <w:t>执行</w:t>
            </w:r>
            <w:r>
              <w:rPr>
                <w:rFonts w:ascii="宋体" w:eastAsia="宋体" w:cs="Arial" w:hint="eastAsia"/>
                <w:kern w:val="0"/>
                <w:sz w:val="20"/>
                <w:szCs w:val="20"/>
              </w:rPr>
              <w:t>案件</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E5771" w:rsidRDefault="00CC09EF" w:rsidP="00A20D98">
            <w:pPr>
              <w:widowControl/>
              <w:jc w:val="center"/>
              <w:rPr>
                <w:rFonts w:ascii="Arial" w:eastAsia="宋体" w:hAnsi="Arial" w:cs="Arial"/>
                <w:kern w:val="0"/>
                <w:sz w:val="20"/>
                <w:szCs w:val="20"/>
              </w:rPr>
            </w:pPr>
            <w:r>
              <w:rPr>
                <w:rFonts w:ascii="Arial" w:eastAsia="宋体" w:hAnsi="Arial" w:cs="Arial" w:hint="eastAsia"/>
                <w:kern w:val="0"/>
                <w:sz w:val="20"/>
                <w:szCs w:val="20"/>
              </w:rPr>
              <w:t>59</w:t>
            </w:r>
            <w:r w:rsidR="00A20D98">
              <w:rPr>
                <w:rFonts w:ascii="Arial" w:eastAsia="宋体" w:hAnsi="Arial" w:cs="Arial" w:hint="eastAsia"/>
                <w:kern w:val="0"/>
                <w:sz w:val="20"/>
                <w:szCs w:val="20"/>
              </w:rPr>
              <w:t>2</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E5771" w:rsidRDefault="00CC09EF" w:rsidP="001E5771">
            <w:pPr>
              <w:widowControl/>
              <w:jc w:val="center"/>
              <w:rPr>
                <w:rFonts w:ascii="Arial" w:eastAsia="宋体" w:hAnsi="Arial" w:cs="Arial"/>
                <w:kern w:val="0"/>
                <w:sz w:val="20"/>
                <w:szCs w:val="20"/>
              </w:rPr>
            </w:pPr>
            <w:r>
              <w:rPr>
                <w:rFonts w:ascii="Arial" w:eastAsia="宋体" w:hAnsi="Arial" w:cs="Arial" w:hint="eastAsia"/>
                <w:kern w:val="0"/>
                <w:sz w:val="20"/>
                <w:szCs w:val="20"/>
              </w:rPr>
              <w:t>482</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E5771" w:rsidRDefault="00A20D98" w:rsidP="00A20D98">
            <w:pPr>
              <w:widowControl/>
              <w:jc w:val="center"/>
              <w:rPr>
                <w:rFonts w:ascii="Arial" w:eastAsia="宋体" w:hAnsi="Arial" w:cs="Arial"/>
                <w:kern w:val="0"/>
                <w:sz w:val="20"/>
                <w:szCs w:val="20"/>
              </w:rPr>
            </w:pPr>
            <w:r>
              <w:rPr>
                <w:rFonts w:ascii="Arial" w:eastAsia="宋体" w:hAnsi="Arial" w:cs="Arial" w:hint="eastAsia"/>
                <w:kern w:val="0"/>
                <w:sz w:val="20"/>
                <w:szCs w:val="20"/>
              </w:rPr>
              <w:t>110</w:t>
            </w:r>
          </w:p>
        </w:tc>
        <w:tc>
          <w:tcPr>
            <w:tcW w:w="1859" w:type="dxa"/>
            <w:tcBorders>
              <w:top w:val="nil"/>
              <w:left w:val="nil"/>
              <w:bottom w:val="single" w:sz="4" w:space="0" w:color="auto"/>
              <w:right w:val="single" w:sz="4" w:space="0" w:color="auto"/>
            </w:tcBorders>
            <w:shd w:val="clear" w:color="auto" w:fill="auto"/>
            <w:noWrap/>
            <w:vAlign w:val="center"/>
            <w:hideMark/>
          </w:tcPr>
          <w:p w:rsidR="001E5771" w:rsidRPr="001E5771" w:rsidRDefault="00A20D98" w:rsidP="00A20D98">
            <w:pPr>
              <w:widowControl/>
              <w:jc w:val="center"/>
              <w:rPr>
                <w:rFonts w:ascii="Arial" w:eastAsia="宋体" w:hAnsi="Arial" w:cs="Arial"/>
                <w:kern w:val="0"/>
                <w:sz w:val="20"/>
                <w:szCs w:val="20"/>
              </w:rPr>
            </w:pPr>
            <w:r>
              <w:rPr>
                <w:rFonts w:ascii="Arial" w:eastAsia="宋体" w:hAnsi="Arial" w:cs="Arial" w:hint="eastAsia"/>
                <w:kern w:val="0"/>
                <w:sz w:val="20"/>
                <w:szCs w:val="20"/>
              </w:rPr>
              <w:t>22.82</w:t>
            </w:r>
            <w:r w:rsidR="001E5771" w:rsidRPr="001E5771">
              <w:rPr>
                <w:rFonts w:ascii="Arial" w:eastAsia="宋体" w:hAnsi="Arial" w:cs="Arial"/>
                <w:kern w:val="0"/>
                <w:sz w:val="20"/>
                <w:szCs w:val="20"/>
              </w:rPr>
              <w:t>%</w:t>
            </w:r>
          </w:p>
        </w:tc>
      </w:tr>
    </w:tbl>
    <w:p w:rsidR="001E5771" w:rsidRDefault="001E5771" w:rsidP="00F1353A">
      <w:pPr>
        <w:tabs>
          <w:tab w:val="left" w:pos="800"/>
        </w:tabs>
        <w:snapToGrid w:val="0"/>
        <w:spacing w:line="360" w:lineRule="auto"/>
        <w:ind w:firstLineChars="200" w:firstLine="640"/>
      </w:pPr>
    </w:p>
    <w:p w:rsidR="00C17004" w:rsidRDefault="0080169B" w:rsidP="004624E8">
      <w:pPr>
        <w:tabs>
          <w:tab w:val="left" w:pos="800"/>
        </w:tabs>
        <w:snapToGrid w:val="0"/>
        <w:spacing w:line="360" w:lineRule="auto"/>
        <w:ind w:firstLineChars="200" w:firstLine="640"/>
        <w:rPr>
          <w:rFonts w:ascii="黑体" w:eastAsia="黑体" w:hAnsi="黑体"/>
          <w:b/>
        </w:rPr>
      </w:pPr>
      <w:r>
        <w:rPr>
          <w:noProof/>
        </w:rPr>
        <w:lastRenderedPageBreak/>
        <w:drawing>
          <wp:inline distT="0" distB="0" distL="0" distR="0">
            <wp:extent cx="5486400" cy="3648710"/>
            <wp:effectExtent l="19050" t="0" r="0" b="0"/>
            <wp:docPr id="3" name="对象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color w:val="FF0000"/>
        </w:rPr>
        <w:drawing>
          <wp:inline distT="0" distB="0" distL="0" distR="0">
            <wp:extent cx="5253355" cy="3157220"/>
            <wp:effectExtent l="0" t="0" r="0" b="0"/>
            <wp:docPr id="4"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2954" w:rsidRPr="00821A47" w:rsidRDefault="000A2954" w:rsidP="00821A47">
      <w:pPr>
        <w:snapToGrid w:val="0"/>
        <w:spacing w:line="360" w:lineRule="auto"/>
        <w:ind w:firstLineChars="97" w:firstLine="312"/>
        <w:rPr>
          <w:rFonts w:ascii="黑体" w:eastAsia="黑体" w:hAnsi="黑体"/>
          <w:b/>
        </w:rPr>
      </w:pPr>
      <w:r w:rsidRPr="00821A47">
        <w:rPr>
          <w:rFonts w:ascii="黑体" w:eastAsia="黑体" w:hAnsi="黑体" w:hint="eastAsia"/>
          <w:b/>
        </w:rPr>
        <w:t>（三）</w:t>
      </w:r>
      <w:r w:rsidR="005B6A38" w:rsidRPr="00821A47">
        <w:rPr>
          <w:rFonts w:ascii="黑体" w:eastAsia="黑体" w:hAnsi="黑体" w:hint="eastAsia"/>
          <w:b/>
        </w:rPr>
        <w:t>审结</w:t>
      </w:r>
      <w:r w:rsidRPr="00821A47">
        <w:rPr>
          <w:rFonts w:ascii="黑体" w:eastAsia="黑体" w:hAnsi="黑体" w:hint="eastAsia"/>
          <w:b/>
        </w:rPr>
        <w:t xml:space="preserve">案件情况 </w:t>
      </w:r>
    </w:p>
    <w:p w:rsidR="008C21CD" w:rsidRPr="00821A47" w:rsidRDefault="008C21CD" w:rsidP="00821A47">
      <w:pPr>
        <w:snapToGrid w:val="0"/>
        <w:spacing w:line="360" w:lineRule="auto"/>
        <w:ind w:firstLineChars="200" w:firstLine="643"/>
        <w:rPr>
          <w:rFonts w:ascii="黑体" w:eastAsia="黑体" w:hAnsi="黑体"/>
          <w:b/>
        </w:rPr>
      </w:pPr>
      <w:r w:rsidRPr="00821A47">
        <w:rPr>
          <w:rFonts w:ascii="黑体" w:eastAsia="黑体" w:hAnsi="黑体" w:hint="eastAsia"/>
          <w:b/>
        </w:rPr>
        <w:t>1.总体情况</w:t>
      </w:r>
    </w:p>
    <w:p w:rsidR="00CF5AF6" w:rsidRDefault="00636A9E" w:rsidP="00E54D89">
      <w:pPr>
        <w:snapToGrid w:val="0"/>
        <w:spacing w:line="360" w:lineRule="auto"/>
        <w:ind w:firstLineChars="200" w:firstLine="640"/>
      </w:pPr>
      <w:r>
        <w:rPr>
          <w:rFonts w:hint="eastAsia"/>
        </w:rPr>
        <w:t>2017年</w:t>
      </w:r>
      <w:r w:rsidR="00BC2ECE">
        <w:rPr>
          <w:rFonts w:hint="eastAsia"/>
        </w:rPr>
        <w:t>三季度</w:t>
      </w:r>
      <w:r w:rsidR="00CF5AF6">
        <w:rPr>
          <w:rFonts w:hint="eastAsia"/>
        </w:rPr>
        <w:t>和龙市人民法院审结案件</w:t>
      </w:r>
      <w:r w:rsidR="007D2B08">
        <w:rPr>
          <w:rFonts w:hint="eastAsia"/>
        </w:rPr>
        <w:t>同比去年有所</w:t>
      </w:r>
      <w:r w:rsidR="003D5A9F">
        <w:rPr>
          <w:rFonts w:hint="eastAsia"/>
        </w:rPr>
        <w:t>增加</w:t>
      </w:r>
      <w:r w:rsidR="00CF5AF6">
        <w:rPr>
          <w:rFonts w:hint="eastAsia"/>
        </w:rPr>
        <w:t>。审</w:t>
      </w:r>
      <w:r w:rsidR="00CF5AF6" w:rsidRPr="000D50EC">
        <w:rPr>
          <w:rFonts w:hint="eastAsia"/>
        </w:rPr>
        <w:t>结</w:t>
      </w:r>
      <w:r w:rsidR="003D5A9F">
        <w:rPr>
          <w:rFonts w:hint="eastAsia"/>
        </w:rPr>
        <w:t>1</w:t>
      </w:r>
      <w:r w:rsidR="00BC2ECE">
        <w:rPr>
          <w:rFonts w:hint="eastAsia"/>
        </w:rPr>
        <w:t>412</w:t>
      </w:r>
      <w:r w:rsidR="00CF5AF6" w:rsidRPr="000D50EC">
        <w:rPr>
          <w:rFonts w:hint="eastAsia"/>
        </w:rPr>
        <w:t>件，同比</w:t>
      </w:r>
      <w:r w:rsidR="003D5A9F">
        <w:rPr>
          <w:rFonts w:hint="eastAsia"/>
        </w:rPr>
        <w:t>增加</w:t>
      </w:r>
      <w:r w:rsidR="00BC2ECE">
        <w:rPr>
          <w:rFonts w:hint="eastAsia"/>
        </w:rPr>
        <w:t>299</w:t>
      </w:r>
      <w:r w:rsidR="006B56E9">
        <w:rPr>
          <w:rFonts w:hint="eastAsia"/>
        </w:rPr>
        <w:t>件，</w:t>
      </w:r>
      <w:r w:rsidR="003D5A9F">
        <w:rPr>
          <w:rFonts w:hint="eastAsia"/>
        </w:rPr>
        <w:t>上升2</w:t>
      </w:r>
      <w:r w:rsidR="00BC2ECE">
        <w:rPr>
          <w:rFonts w:hint="eastAsia"/>
        </w:rPr>
        <w:t>6.86</w:t>
      </w:r>
      <w:r w:rsidR="00CF5AF6" w:rsidRPr="000D50EC">
        <w:rPr>
          <w:rFonts w:hint="eastAsia"/>
        </w:rPr>
        <w:t>%</w:t>
      </w:r>
      <w:r w:rsidR="00A47A31">
        <w:rPr>
          <w:rFonts w:hint="eastAsia"/>
        </w:rPr>
        <w:t>。</w:t>
      </w:r>
    </w:p>
    <w:p w:rsidR="00CF5AF6" w:rsidRPr="00821A47" w:rsidRDefault="00CF5AF6" w:rsidP="00821A47">
      <w:pPr>
        <w:snapToGrid w:val="0"/>
        <w:spacing w:line="360" w:lineRule="auto"/>
        <w:ind w:firstLineChars="200" w:firstLine="643"/>
        <w:rPr>
          <w:rFonts w:ascii="黑体" w:eastAsia="黑体" w:hAnsi="黑体"/>
        </w:rPr>
      </w:pPr>
      <w:r w:rsidRPr="00821A47">
        <w:rPr>
          <w:rFonts w:ascii="黑体" w:eastAsia="黑体" w:hAnsi="黑体" w:hint="eastAsia"/>
          <w:b/>
        </w:rPr>
        <w:lastRenderedPageBreak/>
        <w:t>2.案件类型</w:t>
      </w:r>
    </w:p>
    <w:p w:rsidR="00A603AA" w:rsidRDefault="00636A9E" w:rsidP="00F1353A">
      <w:pPr>
        <w:tabs>
          <w:tab w:val="left" w:pos="800"/>
        </w:tabs>
        <w:snapToGrid w:val="0"/>
        <w:spacing w:line="360" w:lineRule="auto"/>
        <w:ind w:firstLineChars="200" w:firstLine="640"/>
      </w:pPr>
      <w:r>
        <w:rPr>
          <w:rFonts w:hint="eastAsia"/>
        </w:rPr>
        <w:t>2017年</w:t>
      </w:r>
      <w:r w:rsidR="00C970B7">
        <w:rPr>
          <w:rFonts w:hint="eastAsia"/>
        </w:rPr>
        <w:t>三季度</w:t>
      </w:r>
      <w:r w:rsidR="005B6A38">
        <w:rPr>
          <w:rFonts w:hint="eastAsia"/>
        </w:rPr>
        <w:t>和龙市人民法院各类型案件中的刑罚变更案件、</w:t>
      </w:r>
      <w:r w:rsidR="003D5A9F">
        <w:rPr>
          <w:rFonts w:hint="eastAsia"/>
        </w:rPr>
        <w:t>民事案件、行政案件、</w:t>
      </w:r>
      <w:r w:rsidR="005B6A38">
        <w:rPr>
          <w:rFonts w:hint="eastAsia"/>
        </w:rPr>
        <w:t>执行案件</w:t>
      </w:r>
      <w:r w:rsidR="00673AC0">
        <w:rPr>
          <w:rFonts w:hint="eastAsia"/>
        </w:rPr>
        <w:t>审结案件数量</w:t>
      </w:r>
      <w:r w:rsidR="005B6A38">
        <w:rPr>
          <w:rFonts w:hint="eastAsia"/>
        </w:rPr>
        <w:t>均呈小幅度上升态势</w:t>
      </w:r>
      <w:r w:rsidR="00D85E1B">
        <w:rPr>
          <w:rFonts w:hint="eastAsia"/>
        </w:rPr>
        <w:t>。刑事案件、审查监督案件</w:t>
      </w:r>
      <w:r w:rsidR="00673AC0">
        <w:rPr>
          <w:rFonts w:hint="eastAsia"/>
        </w:rPr>
        <w:t>审结案件数量均呈</w:t>
      </w:r>
      <w:r w:rsidR="0083287B">
        <w:rPr>
          <w:rFonts w:hint="eastAsia"/>
        </w:rPr>
        <w:t>较大幅度</w:t>
      </w:r>
      <w:r w:rsidR="00673AC0">
        <w:rPr>
          <w:rFonts w:hint="eastAsia"/>
        </w:rPr>
        <w:t>下降趋势。</w:t>
      </w:r>
      <w:r w:rsidR="00D85E1B">
        <w:rPr>
          <w:rFonts w:hint="eastAsia"/>
        </w:rPr>
        <w:t>赔偿案件</w:t>
      </w:r>
      <w:r w:rsidR="0083287B">
        <w:rPr>
          <w:rFonts w:hint="eastAsia"/>
        </w:rPr>
        <w:t>零结案。</w:t>
      </w:r>
    </w:p>
    <w:tbl>
      <w:tblPr>
        <w:tblW w:w="8959" w:type="dxa"/>
        <w:tblInd w:w="94" w:type="dxa"/>
        <w:tblLook w:val="04A0"/>
      </w:tblPr>
      <w:tblGrid>
        <w:gridCol w:w="1775"/>
        <w:gridCol w:w="1775"/>
        <w:gridCol w:w="1775"/>
        <w:gridCol w:w="1775"/>
        <w:gridCol w:w="1859"/>
      </w:tblGrid>
      <w:tr w:rsidR="003D5A9F" w:rsidRPr="001E5771" w:rsidTr="00E96849">
        <w:trPr>
          <w:trHeight w:val="240"/>
        </w:trPr>
        <w:tc>
          <w:tcPr>
            <w:tcW w:w="1775" w:type="dxa"/>
            <w:tcBorders>
              <w:top w:val="single" w:sz="4" w:space="0" w:color="auto"/>
              <w:left w:val="single" w:sz="4" w:space="0" w:color="auto"/>
              <w:bottom w:val="nil"/>
              <w:right w:val="single" w:sz="4" w:space="0" w:color="auto"/>
            </w:tcBorders>
            <w:shd w:val="clear" w:color="auto" w:fill="auto"/>
            <w:noWrap/>
            <w:vAlign w:val="center"/>
            <w:hideMark/>
          </w:tcPr>
          <w:p w:rsidR="003D5A9F" w:rsidRPr="001E5771" w:rsidRDefault="003D5A9F" w:rsidP="00E96849">
            <w:pPr>
              <w:widowControl/>
              <w:jc w:val="center"/>
              <w:rPr>
                <w:rFonts w:ascii="宋体" w:eastAsia="宋体" w:cs="Arial"/>
                <w:kern w:val="0"/>
                <w:sz w:val="20"/>
                <w:szCs w:val="20"/>
              </w:rPr>
            </w:pPr>
            <w:r>
              <w:rPr>
                <w:rFonts w:ascii="宋体" w:eastAsia="宋体" w:cs="Arial" w:hint="eastAsia"/>
                <w:kern w:val="0"/>
                <w:sz w:val="20"/>
                <w:szCs w:val="20"/>
              </w:rPr>
              <w:t>审结案件</w:t>
            </w:r>
          </w:p>
        </w:tc>
        <w:tc>
          <w:tcPr>
            <w:tcW w:w="1775" w:type="dxa"/>
            <w:tcBorders>
              <w:top w:val="single" w:sz="4" w:space="0" w:color="auto"/>
              <w:left w:val="nil"/>
              <w:bottom w:val="nil"/>
              <w:right w:val="single" w:sz="4" w:space="0" w:color="auto"/>
            </w:tcBorders>
            <w:shd w:val="clear" w:color="auto" w:fill="auto"/>
            <w:noWrap/>
            <w:vAlign w:val="center"/>
            <w:hideMark/>
          </w:tcPr>
          <w:p w:rsidR="003D5A9F" w:rsidRPr="001E5771" w:rsidRDefault="003D5A9F" w:rsidP="00ED32E3">
            <w:pPr>
              <w:widowControl/>
              <w:jc w:val="center"/>
              <w:rPr>
                <w:rFonts w:ascii="宋体" w:eastAsia="宋体" w:cs="Arial"/>
                <w:kern w:val="0"/>
                <w:sz w:val="20"/>
                <w:szCs w:val="20"/>
              </w:rPr>
            </w:pPr>
            <w:r w:rsidRPr="001E5771">
              <w:rPr>
                <w:rFonts w:ascii="宋体" w:eastAsia="宋体" w:cs="Arial" w:hint="eastAsia"/>
                <w:kern w:val="0"/>
                <w:sz w:val="20"/>
                <w:szCs w:val="20"/>
              </w:rPr>
              <w:t>2017</w:t>
            </w:r>
            <w:r w:rsidR="00ED32E3">
              <w:rPr>
                <w:rFonts w:ascii="宋体" w:eastAsia="宋体" w:cs="Arial" w:hint="eastAsia"/>
                <w:kern w:val="0"/>
                <w:sz w:val="20"/>
                <w:szCs w:val="20"/>
              </w:rPr>
              <w:t>三季度</w:t>
            </w:r>
          </w:p>
        </w:tc>
        <w:tc>
          <w:tcPr>
            <w:tcW w:w="1775" w:type="dxa"/>
            <w:tcBorders>
              <w:top w:val="single" w:sz="4" w:space="0" w:color="auto"/>
              <w:left w:val="nil"/>
              <w:bottom w:val="nil"/>
              <w:right w:val="single" w:sz="4" w:space="0" w:color="auto"/>
            </w:tcBorders>
            <w:shd w:val="clear" w:color="auto" w:fill="auto"/>
            <w:noWrap/>
            <w:vAlign w:val="center"/>
            <w:hideMark/>
          </w:tcPr>
          <w:p w:rsidR="003D5A9F" w:rsidRPr="001E5771" w:rsidRDefault="003D5A9F" w:rsidP="00ED32E3">
            <w:pPr>
              <w:widowControl/>
              <w:jc w:val="center"/>
              <w:rPr>
                <w:rFonts w:ascii="Arial" w:eastAsia="宋体" w:hAnsi="Arial" w:cs="Arial"/>
                <w:kern w:val="0"/>
                <w:sz w:val="20"/>
                <w:szCs w:val="20"/>
              </w:rPr>
            </w:pPr>
            <w:r w:rsidRPr="001E5771">
              <w:rPr>
                <w:rFonts w:ascii="Arial" w:eastAsia="宋体" w:hAnsi="Arial" w:cs="Arial"/>
                <w:kern w:val="0"/>
                <w:sz w:val="20"/>
                <w:szCs w:val="20"/>
              </w:rPr>
              <w:t>2016</w:t>
            </w:r>
            <w:r w:rsidR="00ED32E3">
              <w:rPr>
                <w:rFonts w:ascii="宋体" w:eastAsia="宋体" w:cs="Arial" w:hint="eastAsia"/>
                <w:kern w:val="0"/>
                <w:sz w:val="20"/>
                <w:szCs w:val="20"/>
              </w:rPr>
              <w:t>三季度</w:t>
            </w:r>
          </w:p>
        </w:tc>
        <w:tc>
          <w:tcPr>
            <w:tcW w:w="1775" w:type="dxa"/>
            <w:tcBorders>
              <w:top w:val="single" w:sz="4" w:space="0" w:color="auto"/>
              <w:left w:val="single" w:sz="4" w:space="0" w:color="auto"/>
              <w:bottom w:val="nil"/>
              <w:right w:val="single" w:sz="4" w:space="0" w:color="auto"/>
            </w:tcBorders>
            <w:shd w:val="clear" w:color="auto" w:fill="auto"/>
            <w:noWrap/>
            <w:vAlign w:val="center"/>
            <w:hideMark/>
          </w:tcPr>
          <w:p w:rsidR="003D5A9F" w:rsidRPr="001E5771" w:rsidRDefault="003D5A9F" w:rsidP="00E96849">
            <w:pPr>
              <w:widowControl/>
              <w:jc w:val="center"/>
              <w:rPr>
                <w:rFonts w:ascii="Arial" w:eastAsia="宋体" w:hAnsi="Arial" w:cs="Arial"/>
                <w:kern w:val="0"/>
                <w:sz w:val="20"/>
                <w:szCs w:val="20"/>
              </w:rPr>
            </w:pPr>
            <w:r>
              <w:rPr>
                <w:rFonts w:ascii="Arial" w:eastAsia="宋体" w:hAnsi="Arial" w:cs="Arial" w:hint="eastAsia"/>
                <w:kern w:val="0"/>
                <w:sz w:val="20"/>
                <w:szCs w:val="20"/>
              </w:rPr>
              <w:t>同比（件）</w:t>
            </w:r>
          </w:p>
        </w:tc>
        <w:tc>
          <w:tcPr>
            <w:tcW w:w="1859" w:type="dxa"/>
            <w:tcBorders>
              <w:top w:val="single" w:sz="4" w:space="0" w:color="auto"/>
              <w:left w:val="single" w:sz="4" w:space="0" w:color="auto"/>
              <w:bottom w:val="nil"/>
              <w:right w:val="single" w:sz="4" w:space="0" w:color="auto"/>
            </w:tcBorders>
            <w:shd w:val="clear" w:color="auto" w:fill="auto"/>
            <w:noWrap/>
            <w:vAlign w:val="center"/>
            <w:hideMark/>
          </w:tcPr>
          <w:p w:rsidR="003D5A9F" w:rsidRPr="001E5771" w:rsidRDefault="003D5A9F" w:rsidP="00E96849">
            <w:pPr>
              <w:widowControl/>
              <w:jc w:val="center"/>
              <w:rPr>
                <w:rFonts w:ascii="Arial" w:eastAsia="宋体" w:hAnsi="Arial" w:cs="Arial"/>
                <w:kern w:val="0"/>
                <w:sz w:val="20"/>
                <w:szCs w:val="20"/>
              </w:rPr>
            </w:pPr>
            <w:r>
              <w:rPr>
                <w:rFonts w:ascii="Arial" w:eastAsia="宋体" w:hAnsi="Arial" w:cs="Arial" w:hint="eastAsia"/>
                <w:kern w:val="0"/>
                <w:sz w:val="20"/>
                <w:szCs w:val="20"/>
              </w:rPr>
              <w:t>同比（</w:t>
            </w:r>
            <w:r>
              <w:rPr>
                <w:rFonts w:ascii="Arial" w:eastAsia="宋体" w:hAnsi="Arial" w:cs="Arial" w:hint="eastAsia"/>
                <w:kern w:val="0"/>
                <w:sz w:val="20"/>
                <w:szCs w:val="20"/>
              </w:rPr>
              <w:t>%</w:t>
            </w:r>
            <w:r>
              <w:rPr>
                <w:rFonts w:ascii="Arial" w:eastAsia="宋体" w:hAnsi="Arial" w:cs="Arial" w:hint="eastAsia"/>
                <w:kern w:val="0"/>
                <w:sz w:val="20"/>
                <w:szCs w:val="20"/>
              </w:rPr>
              <w:t>）</w:t>
            </w:r>
          </w:p>
        </w:tc>
      </w:tr>
      <w:tr w:rsidR="003D5A9F" w:rsidRPr="001E5771" w:rsidTr="003D5A9F">
        <w:trPr>
          <w:trHeight w:val="240"/>
        </w:trPr>
        <w:tc>
          <w:tcPr>
            <w:tcW w:w="1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A9F" w:rsidRPr="001E5771" w:rsidRDefault="003D5A9F" w:rsidP="00E96849">
            <w:pPr>
              <w:widowControl/>
              <w:jc w:val="center"/>
              <w:rPr>
                <w:rFonts w:ascii="宋体" w:eastAsia="宋体" w:cs="Arial"/>
                <w:kern w:val="0"/>
                <w:sz w:val="20"/>
                <w:szCs w:val="20"/>
              </w:rPr>
            </w:pPr>
            <w:r w:rsidRPr="001E5771">
              <w:rPr>
                <w:rFonts w:ascii="宋体" w:eastAsia="宋体" w:cs="Arial" w:hint="eastAsia"/>
                <w:kern w:val="0"/>
                <w:sz w:val="20"/>
                <w:szCs w:val="20"/>
              </w:rPr>
              <w:t>刑事</w:t>
            </w:r>
            <w:r>
              <w:rPr>
                <w:rFonts w:ascii="宋体" w:eastAsia="宋体" w:cs="Arial" w:hint="eastAsia"/>
                <w:kern w:val="0"/>
                <w:sz w:val="20"/>
                <w:szCs w:val="20"/>
              </w:rPr>
              <w:t>案件</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rsidR="003D5A9F" w:rsidRDefault="00ED32E3" w:rsidP="00ED32E3">
            <w:pPr>
              <w:jc w:val="center"/>
              <w:rPr>
                <w:rFonts w:ascii="Arial" w:eastAsia="宋体" w:hAnsi="Arial" w:cs="Arial"/>
                <w:sz w:val="20"/>
                <w:szCs w:val="20"/>
              </w:rPr>
            </w:pPr>
            <w:r>
              <w:rPr>
                <w:rFonts w:ascii="Arial" w:hAnsi="Arial" w:cs="Arial" w:hint="eastAsia"/>
                <w:sz w:val="20"/>
                <w:szCs w:val="20"/>
              </w:rPr>
              <w:t>96</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rsidR="003D5A9F" w:rsidRDefault="00ED32E3" w:rsidP="003D5A9F">
            <w:pPr>
              <w:jc w:val="center"/>
              <w:rPr>
                <w:rFonts w:ascii="Arial" w:eastAsia="宋体" w:hAnsi="Arial" w:cs="Arial"/>
                <w:sz w:val="20"/>
                <w:szCs w:val="20"/>
              </w:rPr>
            </w:pPr>
            <w:r>
              <w:rPr>
                <w:rFonts w:ascii="Arial" w:hAnsi="Arial" w:cs="Arial" w:hint="eastAsia"/>
                <w:sz w:val="20"/>
                <w:szCs w:val="20"/>
              </w:rPr>
              <w:t>103</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rsidR="003D5A9F" w:rsidRDefault="003D5A9F" w:rsidP="00ED32E3">
            <w:pPr>
              <w:jc w:val="center"/>
              <w:rPr>
                <w:rFonts w:ascii="Arial" w:eastAsia="宋体" w:hAnsi="Arial" w:cs="Arial"/>
                <w:sz w:val="20"/>
                <w:szCs w:val="20"/>
              </w:rPr>
            </w:pPr>
            <w:r>
              <w:rPr>
                <w:rFonts w:ascii="Arial" w:hAnsi="Arial" w:cs="Arial"/>
                <w:sz w:val="20"/>
                <w:szCs w:val="20"/>
              </w:rPr>
              <w:t>-</w:t>
            </w:r>
            <w:r w:rsidR="00ED32E3">
              <w:rPr>
                <w:rFonts w:ascii="Arial" w:hAnsi="Arial" w:cs="Arial" w:hint="eastAsia"/>
                <w:sz w:val="20"/>
                <w:szCs w:val="20"/>
              </w:rPr>
              <w:t>7</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rsidR="003D5A9F" w:rsidRDefault="003D5A9F" w:rsidP="00ED32E3">
            <w:pPr>
              <w:jc w:val="center"/>
              <w:rPr>
                <w:rFonts w:ascii="Arial" w:eastAsia="宋体" w:hAnsi="Arial" w:cs="Arial"/>
                <w:sz w:val="20"/>
                <w:szCs w:val="20"/>
              </w:rPr>
            </w:pPr>
            <w:r>
              <w:rPr>
                <w:rFonts w:ascii="Arial" w:hAnsi="Arial" w:cs="Arial"/>
                <w:sz w:val="20"/>
                <w:szCs w:val="20"/>
              </w:rPr>
              <w:t>-</w:t>
            </w:r>
            <w:r w:rsidR="00ED32E3">
              <w:rPr>
                <w:rFonts w:ascii="Arial" w:hAnsi="Arial" w:cs="Arial" w:hint="eastAsia"/>
                <w:sz w:val="20"/>
                <w:szCs w:val="20"/>
              </w:rPr>
              <w:t>6.80</w:t>
            </w:r>
            <w:r>
              <w:rPr>
                <w:rFonts w:ascii="Arial" w:hAnsi="Arial" w:cs="Arial"/>
                <w:sz w:val="20"/>
                <w:szCs w:val="20"/>
              </w:rPr>
              <w:t>%</w:t>
            </w:r>
          </w:p>
        </w:tc>
      </w:tr>
      <w:tr w:rsidR="003D5A9F" w:rsidRPr="001E5771" w:rsidTr="003D5A9F">
        <w:trPr>
          <w:trHeight w:val="240"/>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3D5A9F" w:rsidRPr="001E5771" w:rsidRDefault="003D5A9F" w:rsidP="00E96849">
            <w:pPr>
              <w:widowControl/>
              <w:jc w:val="center"/>
              <w:rPr>
                <w:rFonts w:ascii="宋体" w:eastAsia="宋体" w:cs="Arial"/>
                <w:kern w:val="0"/>
                <w:sz w:val="20"/>
                <w:szCs w:val="20"/>
              </w:rPr>
            </w:pPr>
            <w:r>
              <w:rPr>
                <w:rFonts w:ascii="宋体" w:eastAsia="宋体" w:cs="Arial" w:hint="eastAsia"/>
                <w:kern w:val="0"/>
                <w:sz w:val="20"/>
                <w:szCs w:val="20"/>
              </w:rPr>
              <w:t>刑罚变更案件</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Default="00ED32E3" w:rsidP="00ED32E3">
            <w:pPr>
              <w:jc w:val="center"/>
              <w:rPr>
                <w:rFonts w:ascii="Arial" w:eastAsia="宋体" w:hAnsi="Arial" w:cs="Arial"/>
                <w:sz w:val="20"/>
                <w:szCs w:val="20"/>
              </w:rPr>
            </w:pPr>
            <w:r>
              <w:rPr>
                <w:rFonts w:ascii="Arial" w:hAnsi="Arial" w:cs="Arial" w:hint="eastAsia"/>
                <w:sz w:val="20"/>
                <w:szCs w:val="20"/>
              </w:rPr>
              <w:t>4</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Default="00ED32E3" w:rsidP="003D5A9F">
            <w:pPr>
              <w:jc w:val="center"/>
              <w:rPr>
                <w:rFonts w:ascii="Arial" w:eastAsia="宋体" w:hAnsi="Arial" w:cs="Arial"/>
                <w:sz w:val="20"/>
                <w:szCs w:val="20"/>
              </w:rPr>
            </w:pPr>
            <w:r>
              <w:rPr>
                <w:rFonts w:ascii="Arial" w:hAnsi="Arial" w:cs="Arial" w:hint="eastAsia"/>
                <w:sz w:val="20"/>
                <w:szCs w:val="20"/>
              </w:rPr>
              <w:t>3</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Default="003D5A9F" w:rsidP="003D5A9F">
            <w:pPr>
              <w:jc w:val="center"/>
              <w:rPr>
                <w:rFonts w:ascii="Arial" w:eastAsia="宋体" w:hAnsi="Arial" w:cs="Arial"/>
                <w:sz w:val="20"/>
                <w:szCs w:val="20"/>
              </w:rPr>
            </w:pPr>
            <w:r>
              <w:rPr>
                <w:rFonts w:ascii="Arial" w:hAnsi="Arial" w:cs="Arial"/>
                <w:sz w:val="20"/>
                <w:szCs w:val="20"/>
              </w:rPr>
              <w:t>1</w:t>
            </w:r>
          </w:p>
        </w:tc>
        <w:tc>
          <w:tcPr>
            <w:tcW w:w="1859" w:type="dxa"/>
            <w:tcBorders>
              <w:top w:val="nil"/>
              <w:left w:val="nil"/>
              <w:bottom w:val="single" w:sz="4" w:space="0" w:color="auto"/>
              <w:right w:val="single" w:sz="4" w:space="0" w:color="auto"/>
            </w:tcBorders>
            <w:shd w:val="clear" w:color="auto" w:fill="auto"/>
            <w:noWrap/>
            <w:vAlign w:val="center"/>
            <w:hideMark/>
          </w:tcPr>
          <w:p w:rsidR="003D5A9F" w:rsidRDefault="00ED32E3" w:rsidP="003D5A9F">
            <w:pPr>
              <w:jc w:val="center"/>
              <w:rPr>
                <w:rFonts w:ascii="Arial" w:eastAsia="宋体" w:hAnsi="Arial" w:cs="Arial"/>
                <w:sz w:val="20"/>
                <w:szCs w:val="20"/>
              </w:rPr>
            </w:pPr>
            <w:r>
              <w:rPr>
                <w:rFonts w:ascii="Arial" w:hAnsi="Arial" w:cs="Arial" w:hint="eastAsia"/>
                <w:sz w:val="20"/>
                <w:szCs w:val="20"/>
              </w:rPr>
              <w:t>33.33</w:t>
            </w:r>
            <w:r w:rsidR="003D5A9F">
              <w:rPr>
                <w:rFonts w:ascii="Arial" w:hAnsi="Arial" w:cs="Arial"/>
                <w:sz w:val="20"/>
                <w:szCs w:val="20"/>
              </w:rPr>
              <w:t>%</w:t>
            </w:r>
          </w:p>
        </w:tc>
      </w:tr>
      <w:tr w:rsidR="003D5A9F" w:rsidRPr="001E5771" w:rsidTr="003D5A9F">
        <w:trPr>
          <w:trHeight w:val="240"/>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3D5A9F" w:rsidRPr="001E5771" w:rsidRDefault="003D5A9F" w:rsidP="00E96849">
            <w:pPr>
              <w:widowControl/>
              <w:jc w:val="center"/>
              <w:rPr>
                <w:rFonts w:ascii="宋体" w:eastAsia="宋体" w:cs="Arial"/>
                <w:kern w:val="0"/>
                <w:sz w:val="20"/>
                <w:szCs w:val="20"/>
              </w:rPr>
            </w:pPr>
            <w:r w:rsidRPr="001E5771">
              <w:rPr>
                <w:rFonts w:ascii="宋体" w:eastAsia="宋体" w:cs="Arial" w:hint="eastAsia"/>
                <w:kern w:val="0"/>
                <w:sz w:val="20"/>
                <w:szCs w:val="20"/>
              </w:rPr>
              <w:t>民事</w:t>
            </w:r>
            <w:r>
              <w:rPr>
                <w:rFonts w:ascii="宋体" w:eastAsia="宋体" w:cs="Arial" w:hint="eastAsia"/>
                <w:kern w:val="0"/>
                <w:sz w:val="20"/>
                <w:szCs w:val="20"/>
              </w:rPr>
              <w:t>案件</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Default="00ED32E3" w:rsidP="00ED32E3">
            <w:pPr>
              <w:jc w:val="center"/>
              <w:rPr>
                <w:rFonts w:ascii="Arial" w:eastAsia="宋体" w:hAnsi="Arial" w:cs="Arial"/>
                <w:sz w:val="20"/>
                <w:szCs w:val="20"/>
              </w:rPr>
            </w:pPr>
            <w:r>
              <w:rPr>
                <w:rFonts w:ascii="Arial" w:eastAsia="宋体" w:hAnsi="Arial" w:cs="Arial" w:hint="eastAsia"/>
                <w:sz w:val="20"/>
                <w:szCs w:val="20"/>
              </w:rPr>
              <w:t>893</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Default="00ED32E3" w:rsidP="003D5A9F">
            <w:pPr>
              <w:jc w:val="center"/>
              <w:rPr>
                <w:rFonts w:ascii="Arial" w:eastAsia="宋体" w:hAnsi="Arial" w:cs="Arial"/>
                <w:sz w:val="20"/>
                <w:szCs w:val="20"/>
              </w:rPr>
            </w:pPr>
            <w:r>
              <w:rPr>
                <w:rFonts w:ascii="Arial" w:hAnsi="Arial" w:cs="Arial" w:hint="eastAsia"/>
                <w:sz w:val="20"/>
                <w:szCs w:val="20"/>
              </w:rPr>
              <w:t>693</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Default="00ED32E3" w:rsidP="003D5A9F">
            <w:pPr>
              <w:jc w:val="center"/>
              <w:rPr>
                <w:rFonts w:ascii="Arial" w:eastAsia="宋体" w:hAnsi="Arial" w:cs="Arial"/>
                <w:sz w:val="20"/>
                <w:szCs w:val="20"/>
              </w:rPr>
            </w:pPr>
            <w:r>
              <w:rPr>
                <w:rFonts w:ascii="Arial" w:hAnsi="Arial" w:cs="Arial" w:hint="eastAsia"/>
                <w:sz w:val="20"/>
                <w:szCs w:val="20"/>
              </w:rPr>
              <w:t>200</w:t>
            </w:r>
          </w:p>
        </w:tc>
        <w:tc>
          <w:tcPr>
            <w:tcW w:w="1859" w:type="dxa"/>
            <w:tcBorders>
              <w:top w:val="nil"/>
              <w:left w:val="nil"/>
              <w:bottom w:val="single" w:sz="4" w:space="0" w:color="auto"/>
              <w:right w:val="single" w:sz="4" w:space="0" w:color="auto"/>
            </w:tcBorders>
            <w:shd w:val="clear" w:color="auto" w:fill="auto"/>
            <w:noWrap/>
            <w:vAlign w:val="center"/>
            <w:hideMark/>
          </w:tcPr>
          <w:p w:rsidR="003D5A9F" w:rsidRDefault="00ED32E3" w:rsidP="003D5A9F">
            <w:pPr>
              <w:jc w:val="center"/>
              <w:rPr>
                <w:rFonts w:ascii="Arial" w:eastAsia="宋体" w:hAnsi="Arial" w:cs="Arial"/>
                <w:sz w:val="20"/>
                <w:szCs w:val="20"/>
              </w:rPr>
            </w:pPr>
            <w:r>
              <w:rPr>
                <w:rFonts w:ascii="Arial" w:hAnsi="Arial" w:cs="Arial" w:hint="eastAsia"/>
                <w:sz w:val="20"/>
                <w:szCs w:val="20"/>
              </w:rPr>
              <w:t>28.86</w:t>
            </w:r>
            <w:r w:rsidR="003D5A9F">
              <w:rPr>
                <w:rFonts w:ascii="Arial" w:hAnsi="Arial" w:cs="Arial"/>
                <w:sz w:val="20"/>
                <w:szCs w:val="20"/>
              </w:rPr>
              <w:t>%</w:t>
            </w:r>
          </w:p>
        </w:tc>
      </w:tr>
      <w:tr w:rsidR="003D5A9F" w:rsidRPr="001E5771" w:rsidTr="003D5A9F">
        <w:trPr>
          <w:trHeight w:val="240"/>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3D5A9F" w:rsidRPr="001E5771" w:rsidRDefault="003D5A9F" w:rsidP="00E96849">
            <w:pPr>
              <w:widowControl/>
              <w:jc w:val="center"/>
              <w:rPr>
                <w:rFonts w:ascii="宋体" w:eastAsia="宋体" w:cs="Arial"/>
                <w:kern w:val="0"/>
                <w:sz w:val="20"/>
                <w:szCs w:val="20"/>
              </w:rPr>
            </w:pPr>
            <w:r w:rsidRPr="001E5771">
              <w:rPr>
                <w:rFonts w:ascii="宋体" w:eastAsia="宋体" w:cs="Arial" w:hint="eastAsia"/>
                <w:kern w:val="0"/>
                <w:sz w:val="20"/>
                <w:szCs w:val="20"/>
              </w:rPr>
              <w:t>行政</w:t>
            </w:r>
            <w:r>
              <w:rPr>
                <w:rFonts w:ascii="宋体" w:eastAsia="宋体" w:cs="Arial" w:hint="eastAsia"/>
                <w:kern w:val="0"/>
                <w:sz w:val="20"/>
                <w:szCs w:val="20"/>
              </w:rPr>
              <w:t>案件</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Default="00ED32E3" w:rsidP="00ED32E3">
            <w:pPr>
              <w:jc w:val="center"/>
              <w:rPr>
                <w:rFonts w:ascii="Arial" w:eastAsia="宋体" w:hAnsi="Arial" w:cs="Arial"/>
                <w:sz w:val="20"/>
                <w:szCs w:val="20"/>
              </w:rPr>
            </w:pPr>
            <w:r>
              <w:rPr>
                <w:rFonts w:ascii="Arial" w:hAnsi="Arial" w:cs="Arial" w:hint="eastAsia"/>
                <w:sz w:val="20"/>
                <w:szCs w:val="20"/>
              </w:rPr>
              <w:t>31</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Default="00ED32E3" w:rsidP="003D5A9F">
            <w:pPr>
              <w:jc w:val="center"/>
              <w:rPr>
                <w:rFonts w:ascii="Arial" w:eastAsia="宋体" w:hAnsi="Arial" w:cs="Arial"/>
                <w:sz w:val="20"/>
                <w:szCs w:val="20"/>
              </w:rPr>
            </w:pPr>
            <w:r>
              <w:rPr>
                <w:rFonts w:ascii="Arial" w:hAnsi="Arial" w:cs="Arial" w:hint="eastAsia"/>
                <w:sz w:val="20"/>
                <w:szCs w:val="20"/>
              </w:rPr>
              <w:t>33</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Default="00ED32E3" w:rsidP="003D5A9F">
            <w:pPr>
              <w:jc w:val="center"/>
              <w:rPr>
                <w:rFonts w:ascii="Arial" w:eastAsia="宋体" w:hAnsi="Arial" w:cs="Arial"/>
                <w:sz w:val="20"/>
                <w:szCs w:val="20"/>
              </w:rPr>
            </w:pPr>
            <w:r>
              <w:rPr>
                <w:rFonts w:ascii="Arial" w:hAnsi="Arial" w:cs="Arial" w:hint="eastAsia"/>
                <w:sz w:val="20"/>
                <w:szCs w:val="20"/>
              </w:rPr>
              <w:t>-2</w:t>
            </w:r>
          </w:p>
        </w:tc>
        <w:tc>
          <w:tcPr>
            <w:tcW w:w="1859" w:type="dxa"/>
            <w:tcBorders>
              <w:top w:val="nil"/>
              <w:left w:val="nil"/>
              <w:bottom w:val="single" w:sz="4" w:space="0" w:color="auto"/>
              <w:right w:val="single" w:sz="4" w:space="0" w:color="auto"/>
            </w:tcBorders>
            <w:shd w:val="clear" w:color="auto" w:fill="auto"/>
            <w:noWrap/>
            <w:vAlign w:val="center"/>
            <w:hideMark/>
          </w:tcPr>
          <w:p w:rsidR="003D5A9F" w:rsidRDefault="00ED32E3" w:rsidP="003D5A9F">
            <w:pPr>
              <w:jc w:val="center"/>
              <w:rPr>
                <w:rFonts w:ascii="Arial" w:eastAsia="宋体" w:hAnsi="Arial" w:cs="Arial"/>
                <w:sz w:val="20"/>
                <w:szCs w:val="20"/>
              </w:rPr>
            </w:pPr>
            <w:r>
              <w:rPr>
                <w:rFonts w:ascii="Arial" w:hAnsi="Arial" w:cs="Arial" w:hint="eastAsia"/>
                <w:sz w:val="20"/>
                <w:szCs w:val="20"/>
              </w:rPr>
              <w:t>-6.06</w:t>
            </w:r>
            <w:r w:rsidR="003D5A9F">
              <w:rPr>
                <w:rFonts w:ascii="Arial" w:hAnsi="Arial" w:cs="Arial"/>
                <w:sz w:val="20"/>
                <w:szCs w:val="20"/>
              </w:rPr>
              <w:t>%</w:t>
            </w:r>
          </w:p>
        </w:tc>
      </w:tr>
      <w:tr w:rsidR="003D5A9F" w:rsidRPr="001E5771" w:rsidTr="003D5A9F">
        <w:trPr>
          <w:trHeight w:val="240"/>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3D5A9F" w:rsidRPr="001E5771" w:rsidRDefault="003D5A9F" w:rsidP="00E96849">
            <w:pPr>
              <w:widowControl/>
              <w:jc w:val="center"/>
              <w:rPr>
                <w:rFonts w:ascii="宋体" w:eastAsia="宋体" w:cs="Arial"/>
                <w:kern w:val="0"/>
                <w:sz w:val="20"/>
                <w:szCs w:val="20"/>
              </w:rPr>
            </w:pPr>
            <w:r w:rsidRPr="001E5771">
              <w:rPr>
                <w:rFonts w:ascii="宋体" w:eastAsia="宋体" w:cs="Arial" w:hint="eastAsia"/>
                <w:kern w:val="0"/>
                <w:sz w:val="20"/>
                <w:szCs w:val="20"/>
              </w:rPr>
              <w:t>赔偿</w:t>
            </w:r>
            <w:r>
              <w:rPr>
                <w:rFonts w:ascii="宋体" w:eastAsia="宋体" w:cs="Arial" w:hint="eastAsia"/>
                <w:kern w:val="0"/>
                <w:sz w:val="20"/>
                <w:szCs w:val="20"/>
              </w:rPr>
              <w:t>案件</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Default="00ED32E3" w:rsidP="00ED32E3">
            <w:pPr>
              <w:jc w:val="center"/>
              <w:rPr>
                <w:rFonts w:ascii="Arial" w:eastAsia="宋体" w:hAnsi="Arial" w:cs="Arial"/>
                <w:sz w:val="20"/>
                <w:szCs w:val="20"/>
              </w:rPr>
            </w:pPr>
            <w:r>
              <w:rPr>
                <w:rFonts w:ascii="Arial" w:hAnsi="Arial" w:cs="Arial" w:hint="eastAsia"/>
                <w:sz w:val="20"/>
                <w:szCs w:val="20"/>
              </w:rPr>
              <w:t>2</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Default="00ED32E3" w:rsidP="003D5A9F">
            <w:pPr>
              <w:jc w:val="center"/>
              <w:rPr>
                <w:rFonts w:ascii="Arial" w:eastAsia="宋体" w:hAnsi="Arial" w:cs="Arial"/>
                <w:sz w:val="20"/>
                <w:szCs w:val="20"/>
              </w:rPr>
            </w:pPr>
            <w:r>
              <w:rPr>
                <w:rFonts w:ascii="Arial" w:hAnsi="Arial" w:cs="Arial" w:hint="eastAsia"/>
                <w:sz w:val="20"/>
                <w:szCs w:val="20"/>
              </w:rPr>
              <w:t>0</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Default="00ED32E3" w:rsidP="003D5A9F">
            <w:pPr>
              <w:jc w:val="center"/>
              <w:rPr>
                <w:rFonts w:ascii="Arial" w:eastAsia="宋体" w:hAnsi="Arial" w:cs="Arial"/>
                <w:sz w:val="20"/>
                <w:szCs w:val="20"/>
              </w:rPr>
            </w:pPr>
            <w:r>
              <w:rPr>
                <w:rFonts w:ascii="Arial" w:hAnsi="Arial" w:cs="Arial" w:hint="eastAsia"/>
                <w:sz w:val="20"/>
                <w:szCs w:val="20"/>
              </w:rPr>
              <w:t>2</w:t>
            </w:r>
          </w:p>
        </w:tc>
        <w:tc>
          <w:tcPr>
            <w:tcW w:w="1859" w:type="dxa"/>
            <w:tcBorders>
              <w:top w:val="nil"/>
              <w:left w:val="nil"/>
              <w:bottom w:val="single" w:sz="4" w:space="0" w:color="auto"/>
              <w:right w:val="single" w:sz="4" w:space="0" w:color="auto"/>
            </w:tcBorders>
            <w:shd w:val="clear" w:color="auto" w:fill="auto"/>
            <w:noWrap/>
            <w:vAlign w:val="center"/>
            <w:hideMark/>
          </w:tcPr>
          <w:p w:rsidR="003D5A9F" w:rsidRDefault="00AF4AC5" w:rsidP="003D5A9F">
            <w:pPr>
              <w:jc w:val="center"/>
              <w:rPr>
                <w:rFonts w:ascii="Arial" w:eastAsia="宋体" w:hAnsi="Arial" w:cs="Arial"/>
                <w:sz w:val="20"/>
                <w:szCs w:val="20"/>
              </w:rPr>
            </w:pPr>
            <w:r>
              <w:rPr>
                <w:rFonts w:ascii="Arial" w:hAnsi="Arial" w:cs="Arial" w:hint="eastAsia"/>
                <w:sz w:val="20"/>
                <w:szCs w:val="20"/>
              </w:rPr>
              <w:t>--</w:t>
            </w:r>
          </w:p>
        </w:tc>
      </w:tr>
      <w:tr w:rsidR="003D5A9F" w:rsidRPr="001E5771" w:rsidTr="003D5A9F">
        <w:trPr>
          <w:trHeight w:val="240"/>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3D5A9F" w:rsidRPr="001E5771" w:rsidRDefault="003D5A9F" w:rsidP="00E96849">
            <w:pPr>
              <w:widowControl/>
              <w:jc w:val="center"/>
              <w:rPr>
                <w:rFonts w:ascii="宋体" w:eastAsia="宋体" w:cs="Arial"/>
                <w:kern w:val="0"/>
                <w:sz w:val="20"/>
                <w:szCs w:val="20"/>
              </w:rPr>
            </w:pPr>
            <w:r>
              <w:rPr>
                <w:rFonts w:ascii="宋体" w:eastAsia="宋体" w:cs="Arial" w:hint="eastAsia"/>
                <w:kern w:val="0"/>
                <w:sz w:val="20"/>
                <w:szCs w:val="20"/>
              </w:rPr>
              <w:t>审查监督案件</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Default="003D5A9F" w:rsidP="00ED32E3">
            <w:pPr>
              <w:jc w:val="center"/>
              <w:rPr>
                <w:rFonts w:ascii="Arial" w:eastAsia="宋体" w:hAnsi="Arial" w:cs="Arial"/>
                <w:sz w:val="20"/>
                <w:szCs w:val="20"/>
              </w:rPr>
            </w:pPr>
            <w:r>
              <w:rPr>
                <w:rFonts w:ascii="Arial" w:hAnsi="Arial" w:cs="Arial"/>
                <w:sz w:val="20"/>
                <w:szCs w:val="20"/>
              </w:rPr>
              <w:t>2</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Default="00ED32E3" w:rsidP="003D5A9F">
            <w:pPr>
              <w:jc w:val="center"/>
              <w:rPr>
                <w:rFonts w:ascii="Arial" w:eastAsia="宋体" w:hAnsi="Arial" w:cs="Arial"/>
                <w:sz w:val="20"/>
                <w:szCs w:val="20"/>
              </w:rPr>
            </w:pPr>
            <w:r>
              <w:rPr>
                <w:rFonts w:ascii="Arial" w:hAnsi="Arial" w:cs="Arial" w:hint="eastAsia"/>
                <w:sz w:val="20"/>
                <w:szCs w:val="20"/>
              </w:rPr>
              <w:t>4</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Default="003D5A9F" w:rsidP="00ED32E3">
            <w:pPr>
              <w:jc w:val="center"/>
              <w:rPr>
                <w:rFonts w:ascii="Arial" w:eastAsia="宋体" w:hAnsi="Arial" w:cs="Arial"/>
                <w:sz w:val="20"/>
                <w:szCs w:val="20"/>
              </w:rPr>
            </w:pPr>
            <w:r>
              <w:rPr>
                <w:rFonts w:ascii="Arial" w:hAnsi="Arial" w:cs="Arial"/>
                <w:sz w:val="20"/>
                <w:szCs w:val="20"/>
              </w:rPr>
              <w:t>-</w:t>
            </w:r>
            <w:r w:rsidR="00ED32E3">
              <w:rPr>
                <w:rFonts w:ascii="Arial" w:hAnsi="Arial" w:cs="Arial" w:hint="eastAsia"/>
                <w:sz w:val="20"/>
                <w:szCs w:val="20"/>
              </w:rPr>
              <w:t>2</w:t>
            </w:r>
          </w:p>
        </w:tc>
        <w:tc>
          <w:tcPr>
            <w:tcW w:w="1859" w:type="dxa"/>
            <w:tcBorders>
              <w:top w:val="nil"/>
              <w:left w:val="nil"/>
              <w:bottom w:val="single" w:sz="4" w:space="0" w:color="auto"/>
              <w:right w:val="single" w:sz="4" w:space="0" w:color="auto"/>
            </w:tcBorders>
            <w:shd w:val="clear" w:color="auto" w:fill="auto"/>
            <w:noWrap/>
            <w:vAlign w:val="center"/>
            <w:hideMark/>
          </w:tcPr>
          <w:p w:rsidR="003D5A9F" w:rsidRDefault="003D5A9F" w:rsidP="00ED32E3">
            <w:pPr>
              <w:jc w:val="center"/>
              <w:rPr>
                <w:rFonts w:ascii="Arial" w:eastAsia="宋体" w:hAnsi="Arial" w:cs="Arial"/>
                <w:sz w:val="20"/>
                <w:szCs w:val="20"/>
              </w:rPr>
            </w:pPr>
            <w:r>
              <w:rPr>
                <w:rFonts w:ascii="Arial" w:hAnsi="Arial" w:cs="Arial"/>
                <w:sz w:val="20"/>
                <w:szCs w:val="20"/>
              </w:rPr>
              <w:t>-</w:t>
            </w:r>
            <w:r w:rsidR="00ED32E3">
              <w:rPr>
                <w:rFonts w:ascii="Arial" w:hAnsi="Arial" w:cs="Arial" w:hint="eastAsia"/>
                <w:sz w:val="20"/>
                <w:szCs w:val="20"/>
              </w:rPr>
              <w:t>50.00</w:t>
            </w:r>
            <w:r>
              <w:rPr>
                <w:rFonts w:ascii="Arial" w:hAnsi="Arial" w:cs="Arial"/>
                <w:sz w:val="20"/>
                <w:szCs w:val="20"/>
              </w:rPr>
              <w:t>%</w:t>
            </w:r>
          </w:p>
        </w:tc>
      </w:tr>
      <w:tr w:rsidR="003D5A9F" w:rsidRPr="001E5771" w:rsidTr="003D5A9F">
        <w:trPr>
          <w:trHeight w:val="240"/>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3D5A9F" w:rsidRPr="001E5771" w:rsidRDefault="003D5A9F" w:rsidP="00E96849">
            <w:pPr>
              <w:widowControl/>
              <w:jc w:val="center"/>
              <w:rPr>
                <w:rFonts w:ascii="宋体" w:eastAsia="宋体" w:cs="Arial"/>
                <w:kern w:val="0"/>
                <w:sz w:val="20"/>
                <w:szCs w:val="20"/>
              </w:rPr>
            </w:pPr>
            <w:r w:rsidRPr="001E5771">
              <w:rPr>
                <w:rFonts w:ascii="宋体" w:eastAsia="宋体" w:cs="Arial" w:hint="eastAsia"/>
                <w:kern w:val="0"/>
                <w:sz w:val="20"/>
                <w:szCs w:val="20"/>
              </w:rPr>
              <w:t>执行</w:t>
            </w:r>
            <w:r>
              <w:rPr>
                <w:rFonts w:ascii="宋体" w:eastAsia="宋体" w:cs="Arial" w:hint="eastAsia"/>
                <w:kern w:val="0"/>
                <w:sz w:val="20"/>
                <w:szCs w:val="20"/>
              </w:rPr>
              <w:t>案件</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Default="00ED32E3" w:rsidP="00ED32E3">
            <w:pPr>
              <w:jc w:val="center"/>
              <w:rPr>
                <w:rFonts w:ascii="Arial" w:eastAsia="宋体" w:hAnsi="Arial" w:cs="Arial"/>
                <w:sz w:val="20"/>
                <w:szCs w:val="20"/>
              </w:rPr>
            </w:pPr>
            <w:r>
              <w:rPr>
                <w:rFonts w:ascii="Arial" w:hAnsi="Arial" w:cs="Arial" w:hint="eastAsia"/>
                <w:sz w:val="20"/>
                <w:szCs w:val="20"/>
              </w:rPr>
              <w:t>384</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Default="00ED32E3" w:rsidP="003D5A9F">
            <w:pPr>
              <w:jc w:val="center"/>
              <w:rPr>
                <w:rFonts w:ascii="Arial" w:eastAsia="宋体" w:hAnsi="Arial" w:cs="Arial"/>
                <w:sz w:val="20"/>
                <w:szCs w:val="20"/>
              </w:rPr>
            </w:pPr>
            <w:r>
              <w:rPr>
                <w:rFonts w:ascii="Arial" w:hAnsi="Arial" w:cs="Arial" w:hint="eastAsia"/>
                <w:sz w:val="20"/>
                <w:szCs w:val="20"/>
              </w:rPr>
              <w:t>278</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Default="00ED32E3" w:rsidP="003D5A9F">
            <w:pPr>
              <w:jc w:val="center"/>
              <w:rPr>
                <w:rFonts w:ascii="Arial" w:eastAsia="宋体" w:hAnsi="Arial" w:cs="Arial"/>
                <w:sz w:val="20"/>
                <w:szCs w:val="20"/>
              </w:rPr>
            </w:pPr>
            <w:r>
              <w:rPr>
                <w:rFonts w:ascii="Arial" w:hAnsi="Arial" w:cs="Arial" w:hint="eastAsia"/>
                <w:sz w:val="20"/>
                <w:szCs w:val="20"/>
              </w:rPr>
              <w:t>106</w:t>
            </w:r>
          </w:p>
        </w:tc>
        <w:tc>
          <w:tcPr>
            <w:tcW w:w="1859" w:type="dxa"/>
            <w:tcBorders>
              <w:top w:val="nil"/>
              <w:left w:val="nil"/>
              <w:bottom w:val="single" w:sz="4" w:space="0" w:color="auto"/>
              <w:right w:val="single" w:sz="4" w:space="0" w:color="auto"/>
            </w:tcBorders>
            <w:shd w:val="clear" w:color="auto" w:fill="auto"/>
            <w:noWrap/>
            <w:vAlign w:val="center"/>
            <w:hideMark/>
          </w:tcPr>
          <w:p w:rsidR="003D5A9F" w:rsidRDefault="00ED32E3" w:rsidP="003D5A9F">
            <w:pPr>
              <w:jc w:val="center"/>
              <w:rPr>
                <w:rFonts w:ascii="Arial" w:eastAsia="宋体" w:hAnsi="Arial" w:cs="Arial"/>
                <w:sz w:val="20"/>
                <w:szCs w:val="20"/>
              </w:rPr>
            </w:pPr>
            <w:r>
              <w:rPr>
                <w:rFonts w:ascii="Arial" w:hAnsi="Arial" w:cs="Arial" w:hint="eastAsia"/>
                <w:sz w:val="20"/>
                <w:szCs w:val="20"/>
              </w:rPr>
              <w:t>38.13</w:t>
            </w:r>
            <w:r w:rsidR="003D5A9F">
              <w:rPr>
                <w:rFonts w:ascii="Arial" w:hAnsi="Arial" w:cs="Arial"/>
                <w:sz w:val="20"/>
                <w:szCs w:val="20"/>
              </w:rPr>
              <w:t>%</w:t>
            </w:r>
          </w:p>
        </w:tc>
      </w:tr>
    </w:tbl>
    <w:p w:rsidR="003E4E7D" w:rsidRPr="007D2B08" w:rsidRDefault="0080169B" w:rsidP="003E4E7D">
      <w:pPr>
        <w:tabs>
          <w:tab w:val="left" w:pos="800"/>
        </w:tabs>
        <w:snapToGrid w:val="0"/>
        <w:spacing w:line="360" w:lineRule="auto"/>
      </w:pPr>
      <w:r>
        <w:rPr>
          <w:noProof/>
        </w:rPr>
        <w:drawing>
          <wp:inline distT="0" distB="0" distL="0" distR="0">
            <wp:extent cx="6167755" cy="3821430"/>
            <wp:effectExtent l="19050" t="0" r="4445" b="0"/>
            <wp:docPr id="5" name="对象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4896" w:rsidRPr="00976292" w:rsidRDefault="0080169B" w:rsidP="00976292">
      <w:pPr>
        <w:tabs>
          <w:tab w:val="left" w:pos="800"/>
        </w:tabs>
        <w:snapToGrid w:val="0"/>
        <w:spacing w:line="360" w:lineRule="auto"/>
        <w:rPr>
          <w:color w:val="FF0000"/>
        </w:rPr>
      </w:pPr>
      <w:r>
        <w:rPr>
          <w:noProof/>
          <w:color w:val="FF0000"/>
        </w:rPr>
        <w:lastRenderedPageBreak/>
        <w:drawing>
          <wp:inline distT="0" distB="0" distL="0" distR="0">
            <wp:extent cx="5546725" cy="3131185"/>
            <wp:effectExtent l="0" t="0" r="0" b="0"/>
            <wp:docPr id="6" name="对象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A94227">
        <w:rPr>
          <w:rFonts w:hint="eastAsia"/>
          <w:color w:val="FF0000"/>
        </w:rPr>
        <w:t xml:space="preserve">    </w:t>
      </w:r>
      <w:r w:rsidR="00D70331" w:rsidRPr="00821A47">
        <w:rPr>
          <w:rFonts w:ascii="黑体" w:eastAsia="黑体" w:hAnsi="黑体" w:hint="eastAsia"/>
          <w:b/>
        </w:rPr>
        <w:t>（</w:t>
      </w:r>
      <w:r w:rsidR="00857C81" w:rsidRPr="00821A47">
        <w:rPr>
          <w:rFonts w:ascii="黑体" w:eastAsia="黑体" w:hAnsi="黑体" w:hint="eastAsia"/>
          <w:b/>
        </w:rPr>
        <w:t>四</w:t>
      </w:r>
      <w:r w:rsidR="00D70331" w:rsidRPr="00821A47">
        <w:rPr>
          <w:rFonts w:ascii="黑体" w:eastAsia="黑体" w:hAnsi="黑体" w:hint="eastAsia"/>
          <w:b/>
        </w:rPr>
        <w:t>）未结案件情况</w:t>
      </w:r>
    </w:p>
    <w:p w:rsidR="00857C81" w:rsidRPr="00821A47" w:rsidRDefault="00857C81" w:rsidP="00821A47">
      <w:pPr>
        <w:snapToGrid w:val="0"/>
        <w:spacing w:line="360" w:lineRule="auto"/>
        <w:ind w:firstLineChars="200" w:firstLine="643"/>
        <w:rPr>
          <w:rFonts w:ascii="黑体" w:eastAsia="黑体" w:hAnsi="黑体"/>
          <w:b/>
        </w:rPr>
      </w:pPr>
      <w:r w:rsidRPr="00572941">
        <w:rPr>
          <w:rFonts w:ascii="黑体" w:eastAsia="黑体" w:hAnsi="黑体" w:hint="eastAsia"/>
          <w:b/>
        </w:rPr>
        <w:t>1.总体情况</w:t>
      </w:r>
    </w:p>
    <w:p w:rsidR="00857C81" w:rsidRPr="00857C81" w:rsidRDefault="00636A9E" w:rsidP="00B8710D">
      <w:pPr>
        <w:snapToGrid w:val="0"/>
        <w:spacing w:line="360" w:lineRule="auto"/>
        <w:ind w:firstLine="588"/>
        <w:jc w:val="left"/>
      </w:pPr>
      <w:r>
        <w:rPr>
          <w:rFonts w:hint="eastAsia"/>
        </w:rPr>
        <w:t>2017年</w:t>
      </w:r>
      <w:r w:rsidR="00C970B7">
        <w:rPr>
          <w:rFonts w:hint="eastAsia"/>
        </w:rPr>
        <w:t>三季度</w:t>
      </w:r>
      <w:r w:rsidR="00857C81">
        <w:rPr>
          <w:rFonts w:hint="eastAsia"/>
        </w:rPr>
        <w:t>和龙市人民法院未结案</w:t>
      </w:r>
      <w:r w:rsidR="00A76474">
        <w:rPr>
          <w:rFonts w:hint="eastAsia"/>
        </w:rPr>
        <w:t>有所</w:t>
      </w:r>
      <w:r w:rsidR="00F63E55">
        <w:rPr>
          <w:rFonts w:hint="eastAsia"/>
        </w:rPr>
        <w:t>减少</w:t>
      </w:r>
      <w:r w:rsidR="00857C81">
        <w:rPr>
          <w:rFonts w:hint="eastAsia"/>
        </w:rPr>
        <w:t>。未结案件</w:t>
      </w:r>
      <w:r w:rsidR="00A76474">
        <w:rPr>
          <w:rFonts w:hint="eastAsia"/>
        </w:rPr>
        <w:t>5</w:t>
      </w:r>
      <w:r w:rsidR="00572941">
        <w:rPr>
          <w:rFonts w:hint="eastAsia"/>
        </w:rPr>
        <w:t>65件，同比减少27</w:t>
      </w:r>
      <w:r w:rsidR="00857C81">
        <w:rPr>
          <w:rFonts w:hint="eastAsia"/>
        </w:rPr>
        <w:t>件，</w:t>
      </w:r>
      <w:r w:rsidR="00572941">
        <w:rPr>
          <w:rFonts w:hint="eastAsia"/>
        </w:rPr>
        <w:t>下降4.56</w:t>
      </w:r>
      <w:r w:rsidR="00857C81">
        <w:rPr>
          <w:rFonts w:hint="eastAsia"/>
        </w:rPr>
        <w:t>%</w:t>
      </w:r>
      <w:r w:rsidR="007D085F">
        <w:rPr>
          <w:rFonts w:hint="eastAsia"/>
        </w:rPr>
        <w:t>。</w:t>
      </w:r>
    </w:p>
    <w:p w:rsidR="00857C81" w:rsidRDefault="00857C81" w:rsidP="00821A47">
      <w:pPr>
        <w:snapToGrid w:val="0"/>
        <w:spacing w:line="360" w:lineRule="auto"/>
        <w:ind w:firstLineChars="200" w:firstLine="643"/>
        <w:rPr>
          <w:rFonts w:ascii="黑体" w:eastAsia="黑体" w:hAnsi="黑体"/>
          <w:b/>
        </w:rPr>
      </w:pPr>
      <w:r w:rsidRPr="005C3BE7">
        <w:rPr>
          <w:rFonts w:ascii="黑体" w:eastAsia="黑体" w:hAnsi="黑体" w:hint="eastAsia"/>
          <w:b/>
        </w:rPr>
        <w:t>2.案件类型</w:t>
      </w:r>
    </w:p>
    <w:tbl>
      <w:tblPr>
        <w:tblW w:w="9246" w:type="dxa"/>
        <w:tblInd w:w="94" w:type="dxa"/>
        <w:tblLook w:val="04A0"/>
      </w:tblPr>
      <w:tblGrid>
        <w:gridCol w:w="1832"/>
        <w:gridCol w:w="1832"/>
        <w:gridCol w:w="1832"/>
        <w:gridCol w:w="1832"/>
        <w:gridCol w:w="1918"/>
      </w:tblGrid>
      <w:tr w:rsidR="003B227E" w:rsidRPr="001E5771" w:rsidTr="004624E8">
        <w:trPr>
          <w:trHeight w:val="291"/>
        </w:trPr>
        <w:tc>
          <w:tcPr>
            <w:tcW w:w="1832" w:type="dxa"/>
            <w:tcBorders>
              <w:top w:val="single" w:sz="4" w:space="0" w:color="auto"/>
              <w:left w:val="single" w:sz="4" w:space="0" w:color="auto"/>
              <w:bottom w:val="nil"/>
              <w:right w:val="single" w:sz="4" w:space="0" w:color="auto"/>
            </w:tcBorders>
            <w:shd w:val="clear" w:color="auto" w:fill="auto"/>
            <w:noWrap/>
            <w:vAlign w:val="center"/>
            <w:hideMark/>
          </w:tcPr>
          <w:p w:rsidR="003B227E" w:rsidRPr="001E5771" w:rsidRDefault="003B227E" w:rsidP="008D59AF">
            <w:pPr>
              <w:widowControl/>
              <w:jc w:val="center"/>
              <w:rPr>
                <w:rFonts w:ascii="宋体" w:eastAsia="宋体" w:cs="Arial"/>
                <w:kern w:val="0"/>
                <w:sz w:val="20"/>
                <w:szCs w:val="20"/>
              </w:rPr>
            </w:pPr>
            <w:r>
              <w:rPr>
                <w:rFonts w:ascii="宋体" w:eastAsia="宋体" w:cs="Arial" w:hint="eastAsia"/>
                <w:kern w:val="0"/>
                <w:sz w:val="20"/>
                <w:szCs w:val="20"/>
              </w:rPr>
              <w:t>未结案件</w:t>
            </w:r>
          </w:p>
        </w:tc>
        <w:tc>
          <w:tcPr>
            <w:tcW w:w="1832" w:type="dxa"/>
            <w:tcBorders>
              <w:top w:val="single" w:sz="4" w:space="0" w:color="auto"/>
              <w:left w:val="nil"/>
              <w:bottom w:val="nil"/>
              <w:right w:val="single" w:sz="4" w:space="0" w:color="auto"/>
            </w:tcBorders>
            <w:shd w:val="clear" w:color="auto" w:fill="auto"/>
            <w:noWrap/>
            <w:vAlign w:val="center"/>
            <w:hideMark/>
          </w:tcPr>
          <w:p w:rsidR="003B227E" w:rsidRPr="001E5771" w:rsidRDefault="003B227E" w:rsidP="008D59AF">
            <w:pPr>
              <w:widowControl/>
              <w:jc w:val="center"/>
              <w:rPr>
                <w:rFonts w:ascii="宋体" w:eastAsia="宋体" w:cs="Arial"/>
                <w:kern w:val="0"/>
                <w:sz w:val="20"/>
                <w:szCs w:val="20"/>
              </w:rPr>
            </w:pPr>
            <w:r w:rsidRPr="001E5771">
              <w:rPr>
                <w:rFonts w:ascii="宋体" w:eastAsia="宋体" w:cs="Arial" w:hint="eastAsia"/>
                <w:kern w:val="0"/>
                <w:sz w:val="20"/>
                <w:szCs w:val="20"/>
              </w:rPr>
              <w:t>2017</w:t>
            </w:r>
            <w:r w:rsidR="005C3BE7">
              <w:rPr>
                <w:rFonts w:ascii="宋体" w:eastAsia="宋体" w:cs="Arial" w:hint="eastAsia"/>
                <w:kern w:val="0"/>
                <w:sz w:val="20"/>
                <w:szCs w:val="20"/>
              </w:rPr>
              <w:t>三季度</w:t>
            </w:r>
          </w:p>
        </w:tc>
        <w:tc>
          <w:tcPr>
            <w:tcW w:w="1832" w:type="dxa"/>
            <w:tcBorders>
              <w:top w:val="single" w:sz="4" w:space="0" w:color="auto"/>
              <w:left w:val="nil"/>
              <w:bottom w:val="nil"/>
              <w:right w:val="single" w:sz="4" w:space="0" w:color="auto"/>
            </w:tcBorders>
            <w:shd w:val="clear" w:color="auto" w:fill="auto"/>
            <w:noWrap/>
            <w:vAlign w:val="center"/>
            <w:hideMark/>
          </w:tcPr>
          <w:p w:rsidR="003B227E" w:rsidRPr="001E5771" w:rsidRDefault="003B227E" w:rsidP="008D59AF">
            <w:pPr>
              <w:widowControl/>
              <w:jc w:val="center"/>
              <w:rPr>
                <w:rFonts w:ascii="Arial" w:eastAsia="宋体" w:hAnsi="Arial" w:cs="Arial"/>
                <w:kern w:val="0"/>
                <w:sz w:val="20"/>
                <w:szCs w:val="20"/>
              </w:rPr>
            </w:pPr>
            <w:r w:rsidRPr="001E5771">
              <w:rPr>
                <w:rFonts w:ascii="Arial" w:eastAsia="宋体" w:hAnsi="Arial" w:cs="Arial"/>
                <w:kern w:val="0"/>
                <w:sz w:val="20"/>
                <w:szCs w:val="20"/>
              </w:rPr>
              <w:t>2016</w:t>
            </w:r>
            <w:r w:rsidR="005C3BE7">
              <w:rPr>
                <w:rFonts w:ascii="宋体" w:eastAsia="宋体" w:cs="Arial" w:hint="eastAsia"/>
                <w:kern w:val="0"/>
                <w:sz w:val="20"/>
                <w:szCs w:val="20"/>
              </w:rPr>
              <w:t>三季度</w:t>
            </w:r>
          </w:p>
        </w:tc>
        <w:tc>
          <w:tcPr>
            <w:tcW w:w="1832" w:type="dxa"/>
            <w:tcBorders>
              <w:top w:val="single" w:sz="4" w:space="0" w:color="auto"/>
              <w:left w:val="single" w:sz="4" w:space="0" w:color="auto"/>
              <w:bottom w:val="nil"/>
              <w:right w:val="single" w:sz="4" w:space="0" w:color="auto"/>
            </w:tcBorders>
            <w:shd w:val="clear" w:color="auto" w:fill="auto"/>
            <w:noWrap/>
            <w:vAlign w:val="center"/>
            <w:hideMark/>
          </w:tcPr>
          <w:p w:rsidR="003B227E" w:rsidRPr="001E5771" w:rsidRDefault="003B227E" w:rsidP="008D59AF">
            <w:pPr>
              <w:widowControl/>
              <w:jc w:val="center"/>
              <w:rPr>
                <w:rFonts w:ascii="Arial" w:eastAsia="宋体" w:hAnsi="Arial" w:cs="Arial"/>
                <w:kern w:val="0"/>
                <w:sz w:val="20"/>
                <w:szCs w:val="20"/>
              </w:rPr>
            </w:pPr>
            <w:r>
              <w:rPr>
                <w:rFonts w:ascii="Arial" w:eastAsia="宋体" w:hAnsi="Arial" w:cs="Arial" w:hint="eastAsia"/>
                <w:kern w:val="0"/>
                <w:sz w:val="20"/>
                <w:szCs w:val="20"/>
              </w:rPr>
              <w:t>同比（件）</w:t>
            </w:r>
          </w:p>
        </w:tc>
        <w:tc>
          <w:tcPr>
            <w:tcW w:w="1918" w:type="dxa"/>
            <w:tcBorders>
              <w:top w:val="single" w:sz="4" w:space="0" w:color="auto"/>
              <w:left w:val="single" w:sz="4" w:space="0" w:color="auto"/>
              <w:bottom w:val="nil"/>
              <w:right w:val="single" w:sz="4" w:space="0" w:color="auto"/>
            </w:tcBorders>
            <w:shd w:val="clear" w:color="auto" w:fill="auto"/>
            <w:noWrap/>
            <w:vAlign w:val="center"/>
            <w:hideMark/>
          </w:tcPr>
          <w:p w:rsidR="003B227E" w:rsidRPr="001E5771" w:rsidRDefault="003B227E" w:rsidP="008D59AF">
            <w:pPr>
              <w:widowControl/>
              <w:jc w:val="center"/>
              <w:rPr>
                <w:rFonts w:ascii="Arial" w:eastAsia="宋体" w:hAnsi="Arial" w:cs="Arial"/>
                <w:kern w:val="0"/>
                <w:sz w:val="20"/>
                <w:szCs w:val="20"/>
              </w:rPr>
            </w:pPr>
            <w:r>
              <w:rPr>
                <w:rFonts w:ascii="Arial" w:eastAsia="宋体" w:hAnsi="Arial" w:cs="Arial" w:hint="eastAsia"/>
                <w:kern w:val="0"/>
                <w:sz w:val="20"/>
                <w:szCs w:val="20"/>
              </w:rPr>
              <w:t>同比（</w:t>
            </w:r>
            <w:r>
              <w:rPr>
                <w:rFonts w:ascii="Arial" w:eastAsia="宋体" w:hAnsi="Arial" w:cs="Arial" w:hint="eastAsia"/>
                <w:kern w:val="0"/>
                <w:sz w:val="20"/>
                <w:szCs w:val="20"/>
              </w:rPr>
              <w:t>%</w:t>
            </w:r>
            <w:r>
              <w:rPr>
                <w:rFonts w:ascii="Arial" w:eastAsia="宋体" w:hAnsi="Arial" w:cs="Arial" w:hint="eastAsia"/>
                <w:kern w:val="0"/>
                <w:sz w:val="20"/>
                <w:szCs w:val="20"/>
              </w:rPr>
              <w:t>）</w:t>
            </w:r>
          </w:p>
        </w:tc>
      </w:tr>
      <w:tr w:rsidR="00F65EA0" w:rsidRPr="001E5771" w:rsidTr="004624E8">
        <w:trPr>
          <w:trHeight w:val="291"/>
        </w:trPr>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EA0" w:rsidRPr="001E5771" w:rsidRDefault="00F65EA0" w:rsidP="008D59AF">
            <w:pPr>
              <w:widowControl/>
              <w:jc w:val="center"/>
              <w:rPr>
                <w:rFonts w:ascii="宋体" w:eastAsia="宋体" w:cs="Arial"/>
                <w:kern w:val="0"/>
                <w:sz w:val="20"/>
                <w:szCs w:val="20"/>
              </w:rPr>
            </w:pPr>
            <w:r w:rsidRPr="001E5771">
              <w:rPr>
                <w:rFonts w:ascii="宋体" w:eastAsia="宋体" w:cs="Arial" w:hint="eastAsia"/>
                <w:kern w:val="0"/>
                <w:sz w:val="20"/>
                <w:szCs w:val="20"/>
              </w:rPr>
              <w:t>刑事</w:t>
            </w:r>
            <w:r>
              <w:rPr>
                <w:rFonts w:ascii="宋体" w:eastAsia="宋体" w:cs="Arial" w:hint="eastAsia"/>
                <w:kern w:val="0"/>
                <w:sz w:val="20"/>
                <w:szCs w:val="20"/>
              </w:rPr>
              <w:t>案件</w:t>
            </w:r>
          </w:p>
        </w:tc>
        <w:tc>
          <w:tcPr>
            <w:tcW w:w="1832" w:type="dxa"/>
            <w:tcBorders>
              <w:top w:val="single" w:sz="4" w:space="0" w:color="auto"/>
              <w:left w:val="nil"/>
              <w:bottom w:val="single" w:sz="4" w:space="0" w:color="auto"/>
              <w:right w:val="single" w:sz="4" w:space="0" w:color="auto"/>
            </w:tcBorders>
            <w:shd w:val="clear" w:color="auto" w:fill="auto"/>
            <w:noWrap/>
            <w:vAlign w:val="center"/>
            <w:hideMark/>
          </w:tcPr>
          <w:p w:rsidR="00F65EA0" w:rsidRDefault="00F65EA0" w:rsidP="00F65EA0">
            <w:pPr>
              <w:jc w:val="center"/>
              <w:rPr>
                <w:rFonts w:ascii="Arial" w:eastAsia="宋体" w:hAnsi="Arial" w:cs="Arial"/>
                <w:sz w:val="20"/>
                <w:szCs w:val="20"/>
              </w:rPr>
            </w:pPr>
            <w:r>
              <w:rPr>
                <w:rFonts w:ascii="Arial" w:hAnsi="Arial" w:cs="Arial"/>
                <w:sz w:val="20"/>
                <w:szCs w:val="20"/>
              </w:rPr>
              <w:t>1</w:t>
            </w:r>
            <w:r w:rsidR="005C3BE7">
              <w:rPr>
                <w:rFonts w:ascii="Arial" w:hAnsi="Arial" w:cs="Arial" w:hint="eastAsia"/>
                <w:sz w:val="20"/>
                <w:szCs w:val="20"/>
              </w:rPr>
              <w:t>0</w:t>
            </w:r>
          </w:p>
        </w:tc>
        <w:tc>
          <w:tcPr>
            <w:tcW w:w="1832" w:type="dxa"/>
            <w:tcBorders>
              <w:top w:val="single" w:sz="4" w:space="0" w:color="auto"/>
              <w:left w:val="nil"/>
              <w:bottom w:val="single" w:sz="4" w:space="0" w:color="auto"/>
              <w:right w:val="single" w:sz="4" w:space="0" w:color="auto"/>
            </w:tcBorders>
            <w:shd w:val="clear" w:color="auto" w:fill="auto"/>
            <w:noWrap/>
            <w:vAlign w:val="center"/>
            <w:hideMark/>
          </w:tcPr>
          <w:p w:rsidR="00F65EA0" w:rsidRDefault="00F65EA0" w:rsidP="00F65EA0">
            <w:pPr>
              <w:jc w:val="center"/>
              <w:rPr>
                <w:rFonts w:ascii="Arial" w:eastAsia="宋体" w:hAnsi="Arial" w:cs="Arial"/>
                <w:sz w:val="20"/>
                <w:szCs w:val="20"/>
              </w:rPr>
            </w:pPr>
            <w:r>
              <w:rPr>
                <w:rFonts w:ascii="Arial" w:hAnsi="Arial" w:cs="Arial"/>
                <w:sz w:val="20"/>
                <w:szCs w:val="20"/>
              </w:rPr>
              <w:t>1</w:t>
            </w:r>
            <w:r w:rsidR="005C3BE7">
              <w:rPr>
                <w:rFonts w:ascii="Arial" w:hAnsi="Arial" w:cs="Arial" w:hint="eastAsia"/>
                <w:sz w:val="20"/>
                <w:szCs w:val="20"/>
              </w:rPr>
              <w:t>4</w:t>
            </w:r>
          </w:p>
        </w:tc>
        <w:tc>
          <w:tcPr>
            <w:tcW w:w="1832" w:type="dxa"/>
            <w:tcBorders>
              <w:top w:val="single" w:sz="4" w:space="0" w:color="auto"/>
              <w:left w:val="nil"/>
              <w:bottom w:val="single" w:sz="4" w:space="0" w:color="auto"/>
              <w:right w:val="single" w:sz="4" w:space="0" w:color="auto"/>
            </w:tcBorders>
            <w:shd w:val="clear" w:color="auto" w:fill="auto"/>
            <w:noWrap/>
            <w:vAlign w:val="center"/>
            <w:hideMark/>
          </w:tcPr>
          <w:p w:rsidR="00F65EA0" w:rsidRDefault="00F65EA0" w:rsidP="00F65EA0">
            <w:pPr>
              <w:jc w:val="center"/>
              <w:rPr>
                <w:rFonts w:ascii="Arial" w:eastAsia="宋体" w:hAnsi="Arial" w:cs="Arial"/>
                <w:sz w:val="20"/>
                <w:szCs w:val="20"/>
              </w:rPr>
            </w:pPr>
            <w:r>
              <w:rPr>
                <w:rFonts w:ascii="Arial" w:hAnsi="Arial" w:cs="Arial"/>
                <w:sz w:val="20"/>
                <w:szCs w:val="20"/>
              </w:rPr>
              <w:t>-</w:t>
            </w:r>
            <w:r w:rsidR="005C3BE7">
              <w:rPr>
                <w:rFonts w:ascii="Arial" w:hAnsi="Arial" w:cs="Arial" w:hint="eastAsia"/>
                <w:sz w:val="20"/>
                <w:szCs w:val="20"/>
              </w:rPr>
              <w:t>4</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F65EA0" w:rsidRDefault="00F65EA0" w:rsidP="00F65EA0">
            <w:pPr>
              <w:jc w:val="center"/>
              <w:rPr>
                <w:rFonts w:ascii="Arial" w:eastAsia="宋体" w:hAnsi="Arial" w:cs="Arial"/>
                <w:sz w:val="20"/>
                <w:szCs w:val="20"/>
              </w:rPr>
            </w:pPr>
            <w:r>
              <w:rPr>
                <w:rFonts w:ascii="Arial" w:hAnsi="Arial" w:cs="Arial"/>
                <w:sz w:val="20"/>
                <w:szCs w:val="20"/>
              </w:rPr>
              <w:t>-</w:t>
            </w:r>
            <w:r w:rsidR="005C3BE7">
              <w:rPr>
                <w:rFonts w:ascii="Arial" w:hAnsi="Arial" w:cs="Arial" w:hint="eastAsia"/>
                <w:sz w:val="20"/>
                <w:szCs w:val="20"/>
              </w:rPr>
              <w:t>28.57</w:t>
            </w:r>
            <w:r>
              <w:rPr>
                <w:rFonts w:ascii="Arial" w:hAnsi="Arial" w:cs="Arial"/>
                <w:sz w:val="20"/>
                <w:szCs w:val="20"/>
              </w:rPr>
              <w:t>%</w:t>
            </w:r>
          </w:p>
        </w:tc>
      </w:tr>
      <w:tr w:rsidR="00F65EA0" w:rsidRPr="001E5771" w:rsidTr="004624E8">
        <w:trPr>
          <w:trHeight w:val="291"/>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rsidR="00F65EA0" w:rsidRPr="001E5771" w:rsidRDefault="00F65EA0" w:rsidP="008D59AF">
            <w:pPr>
              <w:widowControl/>
              <w:jc w:val="center"/>
              <w:rPr>
                <w:rFonts w:ascii="宋体" w:eastAsia="宋体" w:cs="Arial"/>
                <w:kern w:val="0"/>
                <w:sz w:val="20"/>
                <w:szCs w:val="20"/>
              </w:rPr>
            </w:pPr>
            <w:r>
              <w:rPr>
                <w:rFonts w:ascii="宋体" w:eastAsia="宋体" w:cs="Arial" w:hint="eastAsia"/>
                <w:kern w:val="0"/>
                <w:sz w:val="20"/>
                <w:szCs w:val="20"/>
              </w:rPr>
              <w:t>刑罚变更案件</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Default="00F65EA0" w:rsidP="00F65EA0">
            <w:pPr>
              <w:jc w:val="center"/>
              <w:rPr>
                <w:rFonts w:ascii="Arial" w:eastAsia="宋体" w:hAnsi="Arial" w:cs="Arial"/>
                <w:sz w:val="20"/>
                <w:szCs w:val="20"/>
              </w:rPr>
            </w:pPr>
            <w:r>
              <w:rPr>
                <w:rFonts w:ascii="Arial" w:hAnsi="Arial" w:cs="Arial"/>
                <w:sz w:val="20"/>
                <w:szCs w:val="20"/>
              </w:rPr>
              <w:t>0</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Default="005C3BE7" w:rsidP="00F65EA0">
            <w:pPr>
              <w:jc w:val="center"/>
              <w:rPr>
                <w:rFonts w:ascii="Arial" w:eastAsia="宋体" w:hAnsi="Arial" w:cs="Arial"/>
                <w:sz w:val="20"/>
                <w:szCs w:val="20"/>
              </w:rPr>
            </w:pPr>
            <w:r>
              <w:rPr>
                <w:rFonts w:ascii="Arial" w:hAnsi="Arial" w:cs="Arial" w:hint="eastAsia"/>
                <w:sz w:val="20"/>
                <w:szCs w:val="20"/>
              </w:rPr>
              <w:t>0</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Default="005C3BE7" w:rsidP="00F65EA0">
            <w:pPr>
              <w:jc w:val="center"/>
              <w:rPr>
                <w:rFonts w:ascii="Arial" w:eastAsia="宋体" w:hAnsi="Arial" w:cs="Arial"/>
                <w:sz w:val="20"/>
                <w:szCs w:val="20"/>
              </w:rPr>
            </w:pPr>
            <w:r>
              <w:rPr>
                <w:rFonts w:ascii="Arial" w:hAnsi="Arial" w:cs="Arial" w:hint="eastAsia"/>
                <w:sz w:val="20"/>
                <w:szCs w:val="20"/>
              </w:rPr>
              <w:t>0</w:t>
            </w:r>
          </w:p>
        </w:tc>
        <w:tc>
          <w:tcPr>
            <w:tcW w:w="1918" w:type="dxa"/>
            <w:tcBorders>
              <w:top w:val="nil"/>
              <w:left w:val="nil"/>
              <w:bottom w:val="single" w:sz="4" w:space="0" w:color="auto"/>
              <w:right w:val="single" w:sz="4" w:space="0" w:color="auto"/>
            </w:tcBorders>
            <w:shd w:val="clear" w:color="auto" w:fill="auto"/>
            <w:noWrap/>
            <w:vAlign w:val="center"/>
            <w:hideMark/>
          </w:tcPr>
          <w:p w:rsidR="00F65EA0" w:rsidRDefault="00AF4AC5" w:rsidP="00F65EA0">
            <w:pPr>
              <w:jc w:val="center"/>
              <w:rPr>
                <w:rFonts w:ascii="Arial" w:eastAsia="宋体" w:hAnsi="Arial" w:cs="Arial"/>
                <w:sz w:val="20"/>
                <w:szCs w:val="20"/>
              </w:rPr>
            </w:pPr>
            <w:r>
              <w:rPr>
                <w:rFonts w:ascii="Arial" w:hAnsi="Arial" w:cs="Arial" w:hint="eastAsia"/>
                <w:sz w:val="20"/>
                <w:szCs w:val="20"/>
              </w:rPr>
              <w:t>--</w:t>
            </w:r>
          </w:p>
        </w:tc>
      </w:tr>
      <w:tr w:rsidR="00F65EA0" w:rsidRPr="001E5771" w:rsidTr="004624E8">
        <w:trPr>
          <w:trHeight w:val="291"/>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rsidR="00F65EA0" w:rsidRPr="001E5771" w:rsidRDefault="00F65EA0" w:rsidP="008D59AF">
            <w:pPr>
              <w:widowControl/>
              <w:jc w:val="center"/>
              <w:rPr>
                <w:rFonts w:ascii="宋体" w:eastAsia="宋体" w:cs="Arial"/>
                <w:kern w:val="0"/>
                <w:sz w:val="20"/>
                <w:szCs w:val="20"/>
              </w:rPr>
            </w:pPr>
            <w:r w:rsidRPr="001E5771">
              <w:rPr>
                <w:rFonts w:ascii="宋体" w:eastAsia="宋体" w:cs="Arial" w:hint="eastAsia"/>
                <w:kern w:val="0"/>
                <w:sz w:val="20"/>
                <w:szCs w:val="20"/>
              </w:rPr>
              <w:t>民事</w:t>
            </w:r>
            <w:r>
              <w:rPr>
                <w:rFonts w:ascii="宋体" w:eastAsia="宋体" w:cs="Arial" w:hint="eastAsia"/>
                <w:kern w:val="0"/>
                <w:sz w:val="20"/>
                <w:szCs w:val="20"/>
              </w:rPr>
              <w:t>案件</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Default="00F65EA0" w:rsidP="00F65EA0">
            <w:pPr>
              <w:jc w:val="center"/>
              <w:rPr>
                <w:rFonts w:ascii="Arial" w:eastAsia="宋体" w:hAnsi="Arial" w:cs="Arial"/>
                <w:sz w:val="20"/>
                <w:szCs w:val="20"/>
              </w:rPr>
            </w:pPr>
            <w:r>
              <w:rPr>
                <w:rFonts w:ascii="Arial" w:hAnsi="Arial" w:cs="Arial"/>
                <w:sz w:val="20"/>
                <w:szCs w:val="20"/>
              </w:rPr>
              <w:t>22</w:t>
            </w:r>
            <w:r w:rsidR="005C3BE7">
              <w:rPr>
                <w:rFonts w:ascii="Arial" w:hAnsi="Arial" w:cs="Arial" w:hint="eastAsia"/>
                <w:sz w:val="20"/>
                <w:szCs w:val="20"/>
              </w:rPr>
              <w:t>9</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Default="00F65EA0" w:rsidP="00F65EA0">
            <w:pPr>
              <w:jc w:val="center"/>
              <w:rPr>
                <w:rFonts w:ascii="Arial" w:eastAsia="宋体" w:hAnsi="Arial" w:cs="Arial"/>
                <w:sz w:val="20"/>
                <w:szCs w:val="20"/>
              </w:rPr>
            </w:pPr>
            <w:r>
              <w:rPr>
                <w:rFonts w:ascii="Arial" w:hAnsi="Arial" w:cs="Arial"/>
                <w:sz w:val="20"/>
                <w:szCs w:val="20"/>
              </w:rPr>
              <w:t>2</w:t>
            </w:r>
            <w:r w:rsidR="005C3BE7">
              <w:rPr>
                <w:rFonts w:ascii="Arial" w:hAnsi="Arial" w:cs="Arial" w:hint="eastAsia"/>
                <w:sz w:val="20"/>
                <w:szCs w:val="20"/>
              </w:rPr>
              <w:t>61</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Default="005C3BE7" w:rsidP="00F65EA0">
            <w:pPr>
              <w:jc w:val="center"/>
              <w:rPr>
                <w:rFonts w:ascii="Arial" w:eastAsia="宋体" w:hAnsi="Arial" w:cs="Arial"/>
                <w:sz w:val="20"/>
                <w:szCs w:val="20"/>
              </w:rPr>
            </w:pPr>
            <w:r>
              <w:rPr>
                <w:rFonts w:ascii="Arial" w:hAnsi="Arial" w:cs="Arial" w:hint="eastAsia"/>
                <w:sz w:val="20"/>
                <w:szCs w:val="20"/>
              </w:rPr>
              <w:t>-32</w:t>
            </w:r>
          </w:p>
        </w:tc>
        <w:tc>
          <w:tcPr>
            <w:tcW w:w="1918" w:type="dxa"/>
            <w:tcBorders>
              <w:top w:val="nil"/>
              <w:left w:val="nil"/>
              <w:bottom w:val="single" w:sz="4" w:space="0" w:color="auto"/>
              <w:right w:val="single" w:sz="4" w:space="0" w:color="auto"/>
            </w:tcBorders>
            <w:shd w:val="clear" w:color="auto" w:fill="auto"/>
            <w:noWrap/>
            <w:vAlign w:val="center"/>
            <w:hideMark/>
          </w:tcPr>
          <w:p w:rsidR="00F65EA0" w:rsidRDefault="005C3BE7" w:rsidP="00F65EA0">
            <w:pPr>
              <w:jc w:val="center"/>
              <w:rPr>
                <w:rFonts w:ascii="Arial" w:eastAsia="宋体" w:hAnsi="Arial" w:cs="Arial"/>
                <w:sz w:val="20"/>
                <w:szCs w:val="20"/>
              </w:rPr>
            </w:pPr>
            <w:r>
              <w:rPr>
                <w:rFonts w:ascii="Arial" w:hAnsi="Arial" w:cs="Arial" w:hint="eastAsia"/>
                <w:sz w:val="20"/>
                <w:szCs w:val="20"/>
              </w:rPr>
              <w:t>-12.26</w:t>
            </w:r>
            <w:r w:rsidR="00F65EA0">
              <w:rPr>
                <w:rFonts w:ascii="Arial" w:hAnsi="Arial" w:cs="Arial"/>
                <w:sz w:val="20"/>
                <w:szCs w:val="20"/>
              </w:rPr>
              <w:t>%</w:t>
            </w:r>
          </w:p>
        </w:tc>
      </w:tr>
      <w:tr w:rsidR="00F65EA0" w:rsidRPr="001E5771" w:rsidTr="004624E8">
        <w:trPr>
          <w:trHeight w:val="291"/>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rsidR="00F65EA0" w:rsidRPr="001E5771" w:rsidRDefault="00F65EA0" w:rsidP="008D59AF">
            <w:pPr>
              <w:widowControl/>
              <w:jc w:val="center"/>
              <w:rPr>
                <w:rFonts w:ascii="宋体" w:eastAsia="宋体" w:cs="Arial"/>
                <w:kern w:val="0"/>
                <w:sz w:val="20"/>
                <w:szCs w:val="20"/>
              </w:rPr>
            </w:pPr>
            <w:r w:rsidRPr="001E5771">
              <w:rPr>
                <w:rFonts w:ascii="宋体" w:eastAsia="宋体" w:cs="Arial" w:hint="eastAsia"/>
                <w:kern w:val="0"/>
                <w:sz w:val="20"/>
                <w:szCs w:val="20"/>
              </w:rPr>
              <w:t>行政</w:t>
            </w:r>
            <w:r>
              <w:rPr>
                <w:rFonts w:ascii="宋体" w:eastAsia="宋体" w:cs="Arial" w:hint="eastAsia"/>
                <w:kern w:val="0"/>
                <w:sz w:val="20"/>
                <w:szCs w:val="20"/>
              </w:rPr>
              <w:t>案件</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Default="005C3BE7" w:rsidP="00F65EA0">
            <w:pPr>
              <w:jc w:val="center"/>
              <w:rPr>
                <w:rFonts w:ascii="Arial" w:eastAsia="宋体" w:hAnsi="Arial" w:cs="Arial"/>
                <w:sz w:val="20"/>
                <w:szCs w:val="20"/>
              </w:rPr>
            </w:pPr>
            <w:r>
              <w:rPr>
                <w:rFonts w:ascii="Arial" w:hAnsi="Arial" w:cs="Arial" w:hint="eastAsia"/>
                <w:sz w:val="20"/>
                <w:szCs w:val="20"/>
              </w:rPr>
              <w:t>16</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Default="005C3BE7" w:rsidP="00F65EA0">
            <w:pPr>
              <w:jc w:val="center"/>
              <w:rPr>
                <w:rFonts w:ascii="Arial" w:eastAsia="宋体" w:hAnsi="Arial" w:cs="Arial"/>
                <w:sz w:val="20"/>
                <w:szCs w:val="20"/>
              </w:rPr>
            </w:pPr>
            <w:r>
              <w:rPr>
                <w:rFonts w:ascii="Arial" w:hAnsi="Arial" w:cs="Arial" w:hint="eastAsia"/>
                <w:sz w:val="20"/>
                <w:szCs w:val="20"/>
              </w:rPr>
              <w:t>8</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Default="005C3BE7" w:rsidP="00F65EA0">
            <w:pPr>
              <w:jc w:val="center"/>
              <w:rPr>
                <w:rFonts w:ascii="Arial" w:eastAsia="宋体" w:hAnsi="Arial" w:cs="Arial"/>
                <w:sz w:val="20"/>
                <w:szCs w:val="20"/>
              </w:rPr>
            </w:pPr>
            <w:r>
              <w:rPr>
                <w:rFonts w:ascii="Arial" w:hAnsi="Arial" w:cs="Arial" w:hint="eastAsia"/>
                <w:sz w:val="20"/>
                <w:szCs w:val="20"/>
              </w:rPr>
              <w:t>8</w:t>
            </w:r>
          </w:p>
        </w:tc>
        <w:tc>
          <w:tcPr>
            <w:tcW w:w="1918" w:type="dxa"/>
            <w:tcBorders>
              <w:top w:val="nil"/>
              <w:left w:val="nil"/>
              <w:bottom w:val="single" w:sz="4" w:space="0" w:color="auto"/>
              <w:right w:val="single" w:sz="4" w:space="0" w:color="auto"/>
            </w:tcBorders>
            <w:shd w:val="clear" w:color="auto" w:fill="auto"/>
            <w:noWrap/>
            <w:vAlign w:val="center"/>
            <w:hideMark/>
          </w:tcPr>
          <w:p w:rsidR="00F65EA0" w:rsidRDefault="005C3BE7" w:rsidP="00F65EA0">
            <w:pPr>
              <w:jc w:val="center"/>
              <w:rPr>
                <w:rFonts w:ascii="Arial" w:eastAsia="宋体" w:hAnsi="Arial" w:cs="Arial"/>
                <w:sz w:val="20"/>
                <w:szCs w:val="20"/>
              </w:rPr>
            </w:pPr>
            <w:r>
              <w:rPr>
                <w:rFonts w:ascii="Arial" w:hAnsi="Arial" w:cs="Arial" w:hint="eastAsia"/>
                <w:sz w:val="20"/>
                <w:szCs w:val="20"/>
              </w:rPr>
              <w:t>100.00</w:t>
            </w:r>
            <w:r w:rsidR="00F65EA0">
              <w:rPr>
                <w:rFonts w:ascii="Arial" w:hAnsi="Arial" w:cs="Arial"/>
                <w:sz w:val="20"/>
                <w:szCs w:val="20"/>
              </w:rPr>
              <w:t>%</w:t>
            </w:r>
          </w:p>
        </w:tc>
      </w:tr>
      <w:tr w:rsidR="00F65EA0" w:rsidRPr="001E5771" w:rsidTr="004624E8">
        <w:trPr>
          <w:trHeight w:val="291"/>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rsidR="00F65EA0" w:rsidRPr="001E5771" w:rsidRDefault="00F65EA0" w:rsidP="008D59AF">
            <w:pPr>
              <w:widowControl/>
              <w:jc w:val="center"/>
              <w:rPr>
                <w:rFonts w:ascii="宋体" w:eastAsia="宋体" w:cs="Arial"/>
                <w:kern w:val="0"/>
                <w:sz w:val="20"/>
                <w:szCs w:val="20"/>
              </w:rPr>
            </w:pPr>
            <w:r w:rsidRPr="001E5771">
              <w:rPr>
                <w:rFonts w:ascii="宋体" w:eastAsia="宋体" w:cs="Arial" w:hint="eastAsia"/>
                <w:kern w:val="0"/>
                <w:sz w:val="20"/>
                <w:szCs w:val="20"/>
              </w:rPr>
              <w:t>赔偿</w:t>
            </w:r>
            <w:r>
              <w:rPr>
                <w:rFonts w:ascii="宋体" w:eastAsia="宋体" w:cs="Arial" w:hint="eastAsia"/>
                <w:kern w:val="0"/>
                <w:sz w:val="20"/>
                <w:szCs w:val="20"/>
              </w:rPr>
              <w:t>案件</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Default="00F65EA0" w:rsidP="00F65EA0">
            <w:pPr>
              <w:jc w:val="center"/>
              <w:rPr>
                <w:rFonts w:ascii="Arial" w:eastAsia="宋体" w:hAnsi="Arial" w:cs="Arial"/>
                <w:sz w:val="20"/>
                <w:szCs w:val="20"/>
              </w:rPr>
            </w:pPr>
            <w:r>
              <w:rPr>
                <w:rFonts w:ascii="Arial" w:hAnsi="Arial" w:cs="Arial"/>
                <w:sz w:val="20"/>
                <w:szCs w:val="20"/>
              </w:rPr>
              <w:t>3</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Default="00F65EA0" w:rsidP="00F65EA0">
            <w:pPr>
              <w:jc w:val="center"/>
              <w:rPr>
                <w:rFonts w:ascii="Arial" w:eastAsia="宋体" w:hAnsi="Arial" w:cs="Arial"/>
                <w:sz w:val="20"/>
                <w:szCs w:val="20"/>
              </w:rPr>
            </w:pPr>
            <w:r>
              <w:rPr>
                <w:rFonts w:ascii="Arial" w:hAnsi="Arial" w:cs="Arial"/>
                <w:sz w:val="20"/>
                <w:szCs w:val="20"/>
              </w:rPr>
              <w:t>1</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Default="00F65EA0" w:rsidP="00F65EA0">
            <w:pPr>
              <w:jc w:val="center"/>
              <w:rPr>
                <w:rFonts w:ascii="Arial" w:eastAsia="宋体" w:hAnsi="Arial" w:cs="Arial"/>
                <w:sz w:val="20"/>
                <w:szCs w:val="20"/>
              </w:rPr>
            </w:pPr>
            <w:r>
              <w:rPr>
                <w:rFonts w:ascii="Arial" w:hAnsi="Arial" w:cs="Arial"/>
                <w:sz w:val="20"/>
                <w:szCs w:val="20"/>
              </w:rPr>
              <w:t>2</w:t>
            </w:r>
          </w:p>
        </w:tc>
        <w:tc>
          <w:tcPr>
            <w:tcW w:w="1918" w:type="dxa"/>
            <w:tcBorders>
              <w:top w:val="nil"/>
              <w:left w:val="nil"/>
              <w:bottom w:val="single" w:sz="4" w:space="0" w:color="auto"/>
              <w:right w:val="single" w:sz="4" w:space="0" w:color="auto"/>
            </w:tcBorders>
            <w:shd w:val="clear" w:color="auto" w:fill="auto"/>
            <w:noWrap/>
            <w:vAlign w:val="center"/>
            <w:hideMark/>
          </w:tcPr>
          <w:p w:rsidR="00F65EA0" w:rsidRDefault="00F65EA0" w:rsidP="00F65EA0">
            <w:pPr>
              <w:jc w:val="center"/>
              <w:rPr>
                <w:rFonts w:ascii="Arial" w:eastAsia="宋体" w:hAnsi="Arial" w:cs="Arial"/>
                <w:sz w:val="20"/>
                <w:szCs w:val="20"/>
              </w:rPr>
            </w:pPr>
            <w:r>
              <w:rPr>
                <w:rFonts w:ascii="Arial" w:hAnsi="Arial" w:cs="Arial"/>
                <w:sz w:val="20"/>
                <w:szCs w:val="20"/>
              </w:rPr>
              <w:t>200.00%</w:t>
            </w:r>
          </w:p>
        </w:tc>
      </w:tr>
      <w:tr w:rsidR="00F65EA0" w:rsidRPr="001E5771" w:rsidTr="004624E8">
        <w:trPr>
          <w:trHeight w:val="291"/>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rsidR="00F65EA0" w:rsidRPr="001E5771" w:rsidRDefault="00F65EA0" w:rsidP="008D59AF">
            <w:pPr>
              <w:widowControl/>
              <w:jc w:val="center"/>
              <w:rPr>
                <w:rFonts w:ascii="宋体" w:eastAsia="宋体" w:cs="Arial"/>
                <w:kern w:val="0"/>
                <w:sz w:val="20"/>
                <w:szCs w:val="20"/>
              </w:rPr>
            </w:pPr>
            <w:r>
              <w:rPr>
                <w:rFonts w:ascii="宋体" w:eastAsia="宋体" w:cs="Arial" w:hint="eastAsia"/>
                <w:kern w:val="0"/>
                <w:sz w:val="20"/>
                <w:szCs w:val="20"/>
              </w:rPr>
              <w:t>审查监督案件</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Default="00F65EA0" w:rsidP="00F65EA0">
            <w:pPr>
              <w:jc w:val="center"/>
              <w:rPr>
                <w:rFonts w:ascii="Arial" w:eastAsia="宋体" w:hAnsi="Arial" w:cs="Arial"/>
                <w:sz w:val="20"/>
                <w:szCs w:val="20"/>
              </w:rPr>
            </w:pPr>
            <w:r>
              <w:rPr>
                <w:rFonts w:ascii="Arial" w:hAnsi="Arial" w:cs="Arial"/>
                <w:sz w:val="20"/>
                <w:szCs w:val="20"/>
              </w:rPr>
              <w:t>0</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Default="005C3BE7" w:rsidP="00F65EA0">
            <w:pPr>
              <w:jc w:val="center"/>
              <w:rPr>
                <w:rFonts w:ascii="Arial" w:eastAsia="宋体" w:hAnsi="Arial" w:cs="Arial"/>
                <w:sz w:val="20"/>
                <w:szCs w:val="20"/>
              </w:rPr>
            </w:pPr>
            <w:r>
              <w:rPr>
                <w:rFonts w:ascii="Arial" w:hAnsi="Arial" w:cs="Arial" w:hint="eastAsia"/>
                <w:sz w:val="20"/>
                <w:szCs w:val="20"/>
              </w:rPr>
              <w:t>0</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Default="005C3BE7" w:rsidP="00F65EA0">
            <w:pPr>
              <w:jc w:val="center"/>
              <w:rPr>
                <w:rFonts w:ascii="Arial" w:eastAsia="宋体" w:hAnsi="Arial" w:cs="Arial"/>
                <w:sz w:val="20"/>
                <w:szCs w:val="20"/>
              </w:rPr>
            </w:pPr>
            <w:r>
              <w:rPr>
                <w:rFonts w:ascii="Arial" w:hAnsi="Arial" w:cs="Arial" w:hint="eastAsia"/>
                <w:sz w:val="20"/>
                <w:szCs w:val="20"/>
              </w:rPr>
              <w:t>0</w:t>
            </w:r>
          </w:p>
        </w:tc>
        <w:tc>
          <w:tcPr>
            <w:tcW w:w="1918" w:type="dxa"/>
            <w:tcBorders>
              <w:top w:val="nil"/>
              <w:left w:val="nil"/>
              <w:bottom w:val="single" w:sz="4" w:space="0" w:color="auto"/>
              <w:right w:val="single" w:sz="4" w:space="0" w:color="auto"/>
            </w:tcBorders>
            <w:shd w:val="clear" w:color="auto" w:fill="auto"/>
            <w:noWrap/>
            <w:vAlign w:val="center"/>
            <w:hideMark/>
          </w:tcPr>
          <w:p w:rsidR="00F65EA0" w:rsidRDefault="00AF4AC5" w:rsidP="00F65EA0">
            <w:pPr>
              <w:jc w:val="center"/>
              <w:rPr>
                <w:rFonts w:ascii="Arial" w:eastAsia="宋体" w:hAnsi="Arial" w:cs="Arial"/>
                <w:sz w:val="20"/>
                <w:szCs w:val="20"/>
              </w:rPr>
            </w:pPr>
            <w:r>
              <w:rPr>
                <w:rFonts w:ascii="Arial" w:hAnsi="Arial" w:cs="Arial" w:hint="eastAsia"/>
                <w:sz w:val="20"/>
                <w:szCs w:val="20"/>
              </w:rPr>
              <w:t>--</w:t>
            </w:r>
          </w:p>
        </w:tc>
      </w:tr>
      <w:tr w:rsidR="00F65EA0" w:rsidRPr="001E5771" w:rsidTr="004624E8">
        <w:trPr>
          <w:trHeight w:val="291"/>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rsidR="00F65EA0" w:rsidRPr="001E5771" w:rsidRDefault="00F65EA0" w:rsidP="008D59AF">
            <w:pPr>
              <w:widowControl/>
              <w:jc w:val="center"/>
              <w:rPr>
                <w:rFonts w:ascii="宋体" w:eastAsia="宋体" w:cs="Arial"/>
                <w:kern w:val="0"/>
                <w:sz w:val="20"/>
                <w:szCs w:val="20"/>
              </w:rPr>
            </w:pPr>
            <w:r w:rsidRPr="001E5771">
              <w:rPr>
                <w:rFonts w:ascii="宋体" w:eastAsia="宋体" w:cs="Arial" w:hint="eastAsia"/>
                <w:kern w:val="0"/>
                <w:sz w:val="20"/>
                <w:szCs w:val="20"/>
              </w:rPr>
              <w:t>执行</w:t>
            </w:r>
            <w:r>
              <w:rPr>
                <w:rFonts w:ascii="宋体" w:eastAsia="宋体" w:cs="Arial" w:hint="eastAsia"/>
                <w:kern w:val="0"/>
                <w:sz w:val="20"/>
                <w:szCs w:val="20"/>
              </w:rPr>
              <w:t>案件</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Default="005C3BE7" w:rsidP="00F65EA0">
            <w:pPr>
              <w:jc w:val="center"/>
              <w:rPr>
                <w:rFonts w:ascii="Arial" w:eastAsia="宋体" w:hAnsi="Arial" w:cs="Arial"/>
                <w:sz w:val="20"/>
                <w:szCs w:val="20"/>
              </w:rPr>
            </w:pPr>
            <w:r>
              <w:rPr>
                <w:rFonts w:ascii="Arial" w:hAnsi="Arial" w:cs="Arial" w:hint="eastAsia"/>
                <w:sz w:val="20"/>
                <w:szCs w:val="20"/>
              </w:rPr>
              <w:t>307</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Default="00F65EA0" w:rsidP="00F65EA0">
            <w:pPr>
              <w:jc w:val="center"/>
              <w:rPr>
                <w:rFonts w:ascii="Arial" w:eastAsia="宋体" w:hAnsi="Arial" w:cs="Arial"/>
                <w:sz w:val="20"/>
                <w:szCs w:val="20"/>
              </w:rPr>
            </w:pPr>
            <w:r>
              <w:rPr>
                <w:rFonts w:ascii="Arial" w:hAnsi="Arial" w:cs="Arial"/>
                <w:sz w:val="20"/>
                <w:szCs w:val="20"/>
              </w:rPr>
              <w:t>3</w:t>
            </w:r>
            <w:r w:rsidR="005C3BE7">
              <w:rPr>
                <w:rFonts w:ascii="Arial" w:hAnsi="Arial" w:cs="Arial" w:hint="eastAsia"/>
                <w:sz w:val="20"/>
                <w:szCs w:val="20"/>
              </w:rPr>
              <w:t>08</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Default="00F65EA0" w:rsidP="00F65EA0">
            <w:pPr>
              <w:jc w:val="center"/>
              <w:rPr>
                <w:rFonts w:ascii="Arial" w:eastAsia="宋体" w:hAnsi="Arial" w:cs="Arial"/>
                <w:sz w:val="20"/>
                <w:szCs w:val="20"/>
              </w:rPr>
            </w:pPr>
            <w:r>
              <w:rPr>
                <w:rFonts w:ascii="Arial" w:hAnsi="Arial" w:cs="Arial"/>
                <w:sz w:val="20"/>
                <w:szCs w:val="20"/>
              </w:rPr>
              <w:t>-1</w:t>
            </w:r>
          </w:p>
        </w:tc>
        <w:tc>
          <w:tcPr>
            <w:tcW w:w="1918" w:type="dxa"/>
            <w:tcBorders>
              <w:top w:val="nil"/>
              <w:left w:val="nil"/>
              <w:bottom w:val="single" w:sz="4" w:space="0" w:color="auto"/>
              <w:right w:val="single" w:sz="4" w:space="0" w:color="auto"/>
            </w:tcBorders>
            <w:shd w:val="clear" w:color="auto" w:fill="auto"/>
            <w:noWrap/>
            <w:vAlign w:val="center"/>
            <w:hideMark/>
          </w:tcPr>
          <w:p w:rsidR="00F65EA0" w:rsidRDefault="005C3BE7" w:rsidP="00F65EA0">
            <w:pPr>
              <w:jc w:val="center"/>
              <w:rPr>
                <w:rFonts w:ascii="Arial" w:eastAsia="宋体" w:hAnsi="Arial" w:cs="Arial"/>
                <w:sz w:val="20"/>
                <w:szCs w:val="20"/>
              </w:rPr>
            </w:pPr>
            <w:r>
              <w:rPr>
                <w:rFonts w:ascii="Arial" w:hAnsi="Arial" w:cs="Arial"/>
                <w:sz w:val="20"/>
                <w:szCs w:val="20"/>
              </w:rPr>
              <w:t>-0.</w:t>
            </w:r>
            <w:r>
              <w:rPr>
                <w:rFonts w:ascii="Arial" w:hAnsi="Arial" w:cs="Arial" w:hint="eastAsia"/>
                <w:sz w:val="20"/>
                <w:szCs w:val="20"/>
              </w:rPr>
              <w:t>32</w:t>
            </w:r>
            <w:r w:rsidR="00F65EA0">
              <w:rPr>
                <w:rFonts w:ascii="Arial" w:hAnsi="Arial" w:cs="Arial"/>
                <w:sz w:val="20"/>
                <w:szCs w:val="20"/>
              </w:rPr>
              <w:t>%</w:t>
            </w:r>
          </w:p>
        </w:tc>
      </w:tr>
    </w:tbl>
    <w:p w:rsidR="003B227E" w:rsidRPr="00821A47" w:rsidRDefault="003B227E" w:rsidP="003B227E">
      <w:pPr>
        <w:snapToGrid w:val="0"/>
        <w:spacing w:line="360" w:lineRule="auto"/>
        <w:ind w:firstLineChars="200" w:firstLine="640"/>
        <w:rPr>
          <w:rFonts w:ascii="黑体" w:eastAsia="黑体" w:hAnsi="黑体"/>
        </w:rPr>
      </w:pPr>
    </w:p>
    <w:p w:rsidR="00FA747F" w:rsidRPr="00976292" w:rsidRDefault="0080169B" w:rsidP="00976292">
      <w:pPr>
        <w:snapToGrid w:val="0"/>
        <w:spacing w:line="360" w:lineRule="auto"/>
        <w:ind w:firstLine="588"/>
        <w:jc w:val="left"/>
        <w:rPr>
          <w:color w:val="000000"/>
        </w:rPr>
      </w:pPr>
      <w:r>
        <w:rPr>
          <w:noProof/>
        </w:rPr>
        <w:lastRenderedPageBreak/>
        <w:drawing>
          <wp:inline distT="0" distB="0" distL="0" distR="0">
            <wp:extent cx="5615940" cy="3407410"/>
            <wp:effectExtent l="19050" t="0" r="3810" b="0"/>
            <wp:docPr id="15" name="对象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96AFC" w:rsidRPr="002A5562" w:rsidRDefault="0080169B" w:rsidP="002A5562">
      <w:pPr>
        <w:snapToGrid w:val="0"/>
        <w:spacing w:line="360" w:lineRule="auto"/>
        <w:jc w:val="left"/>
        <w:rPr>
          <w:color w:val="FF0000"/>
        </w:rPr>
      </w:pPr>
      <w:r>
        <w:rPr>
          <w:noProof/>
          <w:color w:val="FF0000"/>
        </w:rPr>
        <w:drawing>
          <wp:inline distT="0" distB="0" distL="0" distR="0">
            <wp:extent cx="5555615" cy="2673985"/>
            <wp:effectExtent l="0" t="0" r="0" b="0"/>
            <wp:docPr id="8" name="对象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2A5562">
        <w:rPr>
          <w:rFonts w:hint="eastAsia"/>
          <w:color w:val="FF0000"/>
        </w:rPr>
        <w:t xml:space="preserve">    </w:t>
      </w:r>
      <w:r w:rsidR="00FA747F" w:rsidRPr="00821A47">
        <w:rPr>
          <w:rFonts w:ascii="黑体" w:eastAsia="黑体" w:hAnsi="黑体" w:hint="eastAsia"/>
          <w:b/>
          <w:color w:val="000000"/>
        </w:rPr>
        <w:t>二、和龙</w:t>
      </w:r>
      <w:r w:rsidR="00004462">
        <w:rPr>
          <w:rFonts w:ascii="黑体" w:eastAsia="黑体" w:hAnsi="黑体" w:hint="eastAsia"/>
          <w:b/>
          <w:color w:val="000000"/>
        </w:rPr>
        <w:t>市人民</w:t>
      </w:r>
      <w:r w:rsidR="00FA747F" w:rsidRPr="00821A47">
        <w:rPr>
          <w:rFonts w:ascii="黑体" w:eastAsia="黑体" w:hAnsi="黑体" w:hint="eastAsia"/>
          <w:b/>
          <w:color w:val="000000"/>
        </w:rPr>
        <w:t>法</w:t>
      </w:r>
      <w:r w:rsidR="00556745" w:rsidRPr="00821A47">
        <w:rPr>
          <w:rFonts w:ascii="黑体" w:eastAsia="黑体" w:hAnsi="黑体" w:hint="eastAsia"/>
          <w:b/>
          <w:color w:val="000000"/>
        </w:rPr>
        <w:t>院审判执行工作其他方面基本情况</w:t>
      </w:r>
    </w:p>
    <w:p w:rsidR="00556745" w:rsidRPr="00821A47" w:rsidRDefault="002C1BAF" w:rsidP="00821A47">
      <w:pPr>
        <w:snapToGrid w:val="0"/>
        <w:spacing w:line="360" w:lineRule="auto"/>
        <w:ind w:firstLineChars="200" w:firstLine="643"/>
        <w:rPr>
          <w:rFonts w:ascii="黑体" w:eastAsia="黑体" w:hAnsi="黑体"/>
          <w:b/>
          <w:color w:val="000000"/>
        </w:rPr>
      </w:pPr>
      <w:r w:rsidRPr="00821A47">
        <w:rPr>
          <w:rFonts w:ascii="黑体" w:eastAsia="黑体" w:hAnsi="黑体" w:hint="eastAsia"/>
          <w:b/>
          <w:color w:val="000000"/>
        </w:rPr>
        <w:t>（一）</w:t>
      </w:r>
      <w:r w:rsidR="00556745" w:rsidRPr="00821A47">
        <w:rPr>
          <w:rFonts w:ascii="黑体" w:eastAsia="黑体" w:hAnsi="黑体" w:hint="eastAsia"/>
          <w:b/>
          <w:color w:val="000000"/>
        </w:rPr>
        <w:t>法定审限结案及长期未结案件情况</w:t>
      </w:r>
    </w:p>
    <w:p w:rsidR="00556745" w:rsidRDefault="00636A9E" w:rsidP="00296AFC">
      <w:pPr>
        <w:snapToGrid w:val="0"/>
        <w:spacing w:line="360" w:lineRule="auto"/>
        <w:ind w:firstLineChars="200" w:firstLine="640"/>
        <w:rPr>
          <w:color w:val="000000"/>
        </w:rPr>
      </w:pPr>
      <w:r>
        <w:rPr>
          <w:rFonts w:hint="eastAsia"/>
          <w:color w:val="000000"/>
        </w:rPr>
        <w:t>2017年</w:t>
      </w:r>
      <w:r w:rsidR="005C3BE7">
        <w:rPr>
          <w:rFonts w:hint="eastAsia"/>
          <w:color w:val="000000"/>
        </w:rPr>
        <w:t>三季度</w:t>
      </w:r>
      <w:r w:rsidR="003122DF">
        <w:rPr>
          <w:rFonts w:hint="eastAsia"/>
          <w:color w:val="000000"/>
        </w:rPr>
        <w:t>和龙</w:t>
      </w:r>
      <w:r w:rsidR="00004462">
        <w:rPr>
          <w:rFonts w:hint="eastAsia"/>
          <w:color w:val="000000"/>
        </w:rPr>
        <w:t>市人民</w:t>
      </w:r>
      <w:r w:rsidR="003122DF">
        <w:rPr>
          <w:rFonts w:hint="eastAsia"/>
          <w:color w:val="000000"/>
        </w:rPr>
        <w:t>法院法定审限内结案率为</w:t>
      </w:r>
      <w:r w:rsidR="00695104">
        <w:rPr>
          <w:rFonts w:hint="eastAsia"/>
          <w:color w:val="000000"/>
        </w:rPr>
        <w:t>100</w:t>
      </w:r>
      <w:r w:rsidR="001F44C2">
        <w:rPr>
          <w:rFonts w:hint="eastAsia"/>
          <w:color w:val="000000"/>
        </w:rPr>
        <w:t>%</w:t>
      </w:r>
      <w:r w:rsidR="00695104">
        <w:rPr>
          <w:rFonts w:hint="eastAsia"/>
          <w:color w:val="000000"/>
        </w:rPr>
        <w:t>。</w:t>
      </w:r>
    </w:p>
    <w:p w:rsidR="00057428" w:rsidRPr="003122DF" w:rsidRDefault="00636A9E" w:rsidP="00296AFC">
      <w:pPr>
        <w:snapToGrid w:val="0"/>
        <w:spacing w:line="360" w:lineRule="auto"/>
        <w:ind w:firstLineChars="200" w:firstLine="640"/>
        <w:rPr>
          <w:color w:val="000000"/>
        </w:rPr>
      </w:pPr>
      <w:r>
        <w:rPr>
          <w:rFonts w:hint="eastAsia"/>
          <w:color w:val="000000"/>
        </w:rPr>
        <w:t>2017年</w:t>
      </w:r>
      <w:r w:rsidR="005C3BE7">
        <w:rPr>
          <w:rFonts w:hint="eastAsia"/>
          <w:color w:val="000000"/>
        </w:rPr>
        <w:t>三季度</w:t>
      </w:r>
      <w:r w:rsidR="00057428">
        <w:rPr>
          <w:rFonts w:hint="eastAsia"/>
          <w:color w:val="000000"/>
        </w:rPr>
        <w:t>和龙</w:t>
      </w:r>
      <w:r w:rsidR="00004462">
        <w:rPr>
          <w:rFonts w:hint="eastAsia"/>
          <w:color w:val="000000"/>
        </w:rPr>
        <w:t>市人民</w:t>
      </w:r>
      <w:r w:rsidR="00057428">
        <w:rPr>
          <w:rFonts w:hint="eastAsia"/>
          <w:color w:val="000000"/>
        </w:rPr>
        <w:t>法院超一年未结</w:t>
      </w:r>
      <w:r w:rsidR="00352350">
        <w:rPr>
          <w:rFonts w:hint="eastAsia"/>
          <w:color w:val="000000"/>
        </w:rPr>
        <w:t>诉讼</w:t>
      </w:r>
      <w:r w:rsidR="00057428">
        <w:rPr>
          <w:rFonts w:hint="eastAsia"/>
          <w:color w:val="000000"/>
        </w:rPr>
        <w:t>案件</w:t>
      </w:r>
      <w:r w:rsidR="005C3BE7">
        <w:rPr>
          <w:rFonts w:hint="eastAsia"/>
          <w:color w:val="000000"/>
        </w:rPr>
        <w:t>6</w:t>
      </w:r>
      <w:r w:rsidR="00057428">
        <w:rPr>
          <w:rFonts w:hint="eastAsia"/>
          <w:color w:val="000000"/>
        </w:rPr>
        <w:t>件，其中超一年半未结诉讼案件</w:t>
      </w:r>
      <w:r w:rsidR="00EC24D2">
        <w:rPr>
          <w:rFonts w:hint="eastAsia"/>
          <w:color w:val="000000"/>
        </w:rPr>
        <w:t>0</w:t>
      </w:r>
      <w:r w:rsidR="00057428">
        <w:rPr>
          <w:rFonts w:hint="eastAsia"/>
          <w:color w:val="000000"/>
        </w:rPr>
        <w:t>件。</w:t>
      </w:r>
    </w:p>
    <w:p w:rsidR="00975397" w:rsidRPr="003122DF" w:rsidRDefault="0080169B" w:rsidP="00057428">
      <w:pPr>
        <w:snapToGrid w:val="0"/>
        <w:spacing w:line="360" w:lineRule="auto"/>
        <w:rPr>
          <w:color w:val="000000"/>
        </w:rPr>
      </w:pPr>
      <w:r>
        <w:rPr>
          <w:noProof/>
          <w:color w:val="FF0000"/>
        </w:rPr>
        <w:lastRenderedPageBreak/>
        <w:drawing>
          <wp:inline distT="0" distB="0" distL="0" distR="0">
            <wp:extent cx="5555615" cy="2648585"/>
            <wp:effectExtent l="0" t="0" r="0" b="0"/>
            <wp:docPr id="9" name="对象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3606" w:rsidRPr="00821A47" w:rsidRDefault="007B3606" w:rsidP="00821A47">
      <w:pPr>
        <w:snapToGrid w:val="0"/>
        <w:spacing w:line="360" w:lineRule="auto"/>
        <w:ind w:firstLineChars="200" w:firstLine="643"/>
        <w:rPr>
          <w:rFonts w:ascii="黑体" w:eastAsia="黑体" w:hAnsi="黑体"/>
          <w:color w:val="000000"/>
        </w:rPr>
      </w:pPr>
      <w:r w:rsidRPr="00821A47">
        <w:rPr>
          <w:rFonts w:ascii="黑体" w:eastAsia="黑体" w:hAnsi="黑体" w:hint="eastAsia"/>
          <w:b/>
          <w:color w:val="000000"/>
        </w:rPr>
        <w:t>（二）审判质效情况</w:t>
      </w:r>
    </w:p>
    <w:p w:rsidR="00556745" w:rsidRPr="0038110A" w:rsidRDefault="0038110A" w:rsidP="00821A47">
      <w:pPr>
        <w:snapToGrid w:val="0"/>
        <w:spacing w:line="360" w:lineRule="auto"/>
        <w:ind w:firstLineChars="200" w:firstLine="643"/>
      </w:pPr>
      <w:r w:rsidRPr="004F6570">
        <w:rPr>
          <w:rFonts w:ascii="黑体" w:eastAsia="黑体" w:hAnsi="黑体" w:hint="eastAsia"/>
          <w:b/>
        </w:rPr>
        <w:t>1. 案件被发改情况</w:t>
      </w:r>
    </w:p>
    <w:p w:rsidR="007B3606" w:rsidRDefault="00636A9E" w:rsidP="00296AFC">
      <w:pPr>
        <w:snapToGrid w:val="0"/>
        <w:spacing w:line="360" w:lineRule="auto"/>
        <w:ind w:firstLineChars="200" w:firstLine="640"/>
        <w:rPr>
          <w:color w:val="000000"/>
        </w:rPr>
      </w:pPr>
      <w:r>
        <w:rPr>
          <w:rFonts w:hint="eastAsia"/>
        </w:rPr>
        <w:t>2017年</w:t>
      </w:r>
      <w:r w:rsidR="006E27F1">
        <w:rPr>
          <w:rFonts w:hint="eastAsia"/>
        </w:rPr>
        <w:t>三季度</w:t>
      </w:r>
      <w:r w:rsidR="000B58CB">
        <w:rPr>
          <w:rFonts w:hint="eastAsia"/>
        </w:rPr>
        <w:t>和龙市人民法院一审判决案件改判发回重审率为</w:t>
      </w:r>
      <w:r w:rsidR="004F6570">
        <w:rPr>
          <w:rFonts w:hint="eastAsia"/>
        </w:rPr>
        <w:t>3.08</w:t>
      </w:r>
      <w:r w:rsidR="000B58CB">
        <w:rPr>
          <w:rFonts w:hint="eastAsia"/>
        </w:rPr>
        <w:t>%，</w:t>
      </w:r>
      <w:r w:rsidR="000B58CB" w:rsidRPr="004F6570">
        <w:rPr>
          <w:rFonts w:hint="eastAsia"/>
        </w:rPr>
        <w:t>同比下降个</w:t>
      </w:r>
      <w:r w:rsidR="001C0E8D" w:rsidRPr="004F6570">
        <w:rPr>
          <w:rFonts w:hint="eastAsia"/>
        </w:rPr>
        <w:t>0.4</w:t>
      </w:r>
      <w:r w:rsidR="004F6570" w:rsidRPr="004F6570">
        <w:rPr>
          <w:rFonts w:hint="eastAsia"/>
        </w:rPr>
        <w:t>5</w:t>
      </w:r>
      <w:r w:rsidR="000B58CB" w:rsidRPr="004F6570">
        <w:rPr>
          <w:rFonts w:hint="eastAsia"/>
        </w:rPr>
        <w:t>百分点。其中被改判案件</w:t>
      </w:r>
      <w:r w:rsidR="00E73CA4" w:rsidRPr="004F6570">
        <w:rPr>
          <w:rFonts w:hint="eastAsia"/>
        </w:rPr>
        <w:t>1</w:t>
      </w:r>
      <w:r w:rsidR="004F6570" w:rsidRPr="004F6570">
        <w:rPr>
          <w:rFonts w:hint="eastAsia"/>
        </w:rPr>
        <w:t>9</w:t>
      </w:r>
      <w:r w:rsidR="000B58CB" w:rsidRPr="004F6570">
        <w:rPr>
          <w:rFonts w:hint="eastAsia"/>
        </w:rPr>
        <w:t>件，</w:t>
      </w:r>
      <w:r w:rsidR="00975397" w:rsidRPr="004F6570">
        <w:rPr>
          <w:rFonts w:hint="eastAsia"/>
        </w:rPr>
        <w:t>同比</w:t>
      </w:r>
      <w:r w:rsidR="00847A52" w:rsidRPr="004F6570">
        <w:rPr>
          <w:rFonts w:hint="eastAsia"/>
        </w:rPr>
        <w:t>减少</w:t>
      </w:r>
      <w:r w:rsidR="004F6570" w:rsidRPr="004F6570">
        <w:rPr>
          <w:rFonts w:hint="eastAsia"/>
        </w:rPr>
        <w:t>3</w:t>
      </w:r>
      <w:r w:rsidR="00975397" w:rsidRPr="004F6570">
        <w:rPr>
          <w:rFonts w:hint="eastAsia"/>
        </w:rPr>
        <w:t>件，</w:t>
      </w:r>
      <w:r w:rsidR="00847A52" w:rsidRPr="004F6570">
        <w:rPr>
          <w:rFonts w:hint="eastAsia"/>
        </w:rPr>
        <w:t>下降</w:t>
      </w:r>
      <w:r w:rsidR="004F6570" w:rsidRPr="004F6570">
        <w:rPr>
          <w:rFonts w:hint="eastAsia"/>
        </w:rPr>
        <w:t>13.64</w:t>
      </w:r>
      <w:r w:rsidR="00975397" w:rsidRPr="004F6570">
        <w:rPr>
          <w:rFonts w:hint="eastAsia"/>
        </w:rPr>
        <w:t>%；</w:t>
      </w:r>
      <w:r w:rsidR="000B58CB" w:rsidRPr="004F6570">
        <w:rPr>
          <w:rFonts w:hint="eastAsia"/>
        </w:rPr>
        <w:t>被发回案件</w:t>
      </w:r>
      <w:r w:rsidR="004F6570" w:rsidRPr="004F6570">
        <w:rPr>
          <w:rFonts w:hint="eastAsia"/>
        </w:rPr>
        <w:t>10</w:t>
      </w:r>
      <w:r w:rsidR="000B58CB" w:rsidRPr="004F6570">
        <w:rPr>
          <w:rFonts w:hint="eastAsia"/>
        </w:rPr>
        <w:t>件，同比减少</w:t>
      </w:r>
      <w:r w:rsidR="004F6570" w:rsidRPr="004F6570">
        <w:rPr>
          <w:rFonts w:hint="eastAsia"/>
        </w:rPr>
        <w:t>4</w:t>
      </w:r>
      <w:r w:rsidR="000B58CB" w:rsidRPr="004F6570">
        <w:rPr>
          <w:rFonts w:hint="eastAsia"/>
        </w:rPr>
        <w:t>件，下降</w:t>
      </w:r>
      <w:r w:rsidR="004F6570" w:rsidRPr="004F6570">
        <w:rPr>
          <w:rFonts w:hint="eastAsia"/>
        </w:rPr>
        <w:t>28.57</w:t>
      </w:r>
      <w:r w:rsidR="000B58CB" w:rsidRPr="004F6570">
        <w:rPr>
          <w:rFonts w:hint="eastAsia"/>
        </w:rPr>
        <w:t>%。</w:t>
      </w:r>
    </w:p>
    <w:p w:rsidR="00EB4F83" w:rsidRDefault="0080169B" w:rsidP="005F15CC">
      <w:pPr>
        <w:snapToGrid w:val="0"/>
        <w:spacing w:line="360" w:lineRule="auto"/>
        <w:rPr>
          <w:color w:val="FF0000"/>
        </w:rPr>
      </w:pPr>
      <w:r>
        <w:rPr>
          <w:noProof/>
          <w:color w:val="FF0000"/>
        </w:rPr>
        <w:drawing>
          <wp:inline distT="0" distB="0" distL="0" distR="0">
            <wp:extent cx="5555615" cy="2898775"/>
            <wp:effectExtent l="0" t="0" r="0" b="0"/>
            <wp:docPr id="10" name="对象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3606" w:rsidRPr="00EB4F83" w:rsidRDefault="00EB4F83" w:rsidP="00EB4F83">
      <w:pPr>
        <w:snapToGrid w:val="0"/>
        <w:spacing w:line="360" w:lineRule="auto"/>
        <w:jc w:val="center"/>
        <w:rPr>
          <w:b/>
          <w:sz w:val="30"/>
          <w:szCs w:val="30"/>
        </w:rPr>
      </w:pPr>
      <w:r w:rsidRPr="00EB4F83">
        <w:rPr>
          <w:rFonts w:hint="eastAsia"/>
          <w:b/>
          <w:sz w:val="30"/>
          <w:szCs w:val="30"/>
        </w:rPr>
        <w:t xml:space="preserve">图标11 </w:t>
      </w:r>
      <w:r w:rsidR="00775E4B">
        <w:rPr>
          <w:rFonts w:hint="eastAsia"/>
          <w:b/>
          <w:sz w:val="30"/>
          <w:szCs w:val="30"/>
        </w:rPr>
        <w:t xml:space="preserve"> </w:t>
      </w:r>
      <w:r w:rsidRPr="00EB4F83">
        <w:rPr>
          <w:rFonts w:hint="eastAsia"/>
          <w:b/>
          <w:sz w:val="30"/>
          <w:szCs w:val="30"/>
        </w:rPr>
        <w:t>发回重审和改判原因统计表</w:t>
      </w:r>
    </w:p>
    <w:p w:rsidR="00EB4F83" w:rsidRDefault="00821A47" w:rsidP="00821A47">
      <w:pPr>
        <w:snapToGrid w:val="0"/>
        <w:spacing w:line="360" w:lineRule="auto"/>
        <w:ind w:left="720"/>
        <w:rPr>
          <w:color w:val="000000"/>
        </w:rPr>
      </w:pPr>
      <w:r>
        <w:rPr>
          <w:rFonts w:hint="eastAsia"/>
          <w:color w:val="000000"/>
        </w:rPr>
        <w:lastRenderedPageBreak/>
        <w:t>1.</w:t>
      </w:r>
      <w:r w:rsidR="00EB4F83" w:rsidRPr="00EB4F83">
        <w:rPr>
          <w:rFonts w:hint="eastAsia"/>
          <w:color w:val="000000"/>
        </w:rPr>
        <w:t>刑事案件</w:t>
      </w:r>
    </w:p>
    <w:tbl>
      <w:tblPr>
        <w:tblW w:w="9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2497"/>
        <w:gridCol w:w="3004"/>
      </w:tblGrid>
      <w:tr w:rsidR="00D731F7" w:rsidTr="00D731F7">
        <w:trPr>
          <w:trHeight w:val="440"/>
        </w:trPr>
        <w:tc>
          <w:tcPr>
            <w:tcW w:w="3510" w:type="dxa"/>
            <w:vAlign w:val="center"/>
          </w:tcPr>
          <w:p w:rsidR="00D731F7" w:rsidRPr="00480558" w:rsidRDefault="00D731F7" w:rsidP="00D731F7">
            <w:pPr>
              <w:jc w:val="center"/>
              <w:rPr>
                <w:rFonts w:ascii="宋体" w:eastAsia="宋体"/>
                <w:b/>
                <w:sz w:val="24"/>
                <w:szCs w:val="24"/>
              </w:rPr>
            </w:pPr>
            <w:r w:rsidRPr="00480558">
              <w:rPr>
                <w:rFonts w:ascii="宋体" w:eastAsia="宋体" w:hint="eastAsia"/>
                <w:b/>
                <w:sz w:val="24"/>
                <w:szCs w:val="24"/>
              </w:rPr>
              <w:t>发改原因</w:t>
            </w:r>
          </w:p>
        </w:tc>
        <w:tc>
          <w:tcPr>
            <w:tcW w:w="2497" w:type="dxa"/>
            <w:vAlign w:val="center"/>
          </w:tcPr>
          <w:p w:rsidR="00D731F7" w:rsidRPr="00480558" w:rsidRDefault="00D731F7" w:rsidP="00D731F7">
            <w:pPr>
              <w:jc w:val="center"/>
              <w:rPr>
                <w:rFonts w:ascii="宋体" w:eastAsia="宋体"/>
                <w:b/>
                <w:sz w:val="24"/>
                <w:szCs w:val="24"/>
              </w:rPr>
            </w:pPr>
            <w:r w:rsidRPr="00480558">
              <w:rPr>
                <w:rFonts w:ascii="宋体" w:eastAsia="宋体" w:hint="eastAsia"/>
                <w:b/>
                <w:sz w:val="24"/>
                <w:szCs w:val="24"/>
              </w:rPr>
              <w:t>件数</w:t>
            </w:r>
          </w:p>
        </w:tc>
        <w:tc>
          <w:tcPr>
            <w:tcW w:w="3004" w:type="dxa"/>
            <w:vAlign w:val="center"/>
          </w:tcPr>
          <w:p w:rsidR="00D731F7" w:rsidRPr="00480558" w:rsidRDefault="00D731F7" w:rsidP="00D731F7">
            <w:pPr>
              <w:jc w:val="center"/>
              <w:rPr>
                <w:rFonts w:ascii="宋体" w:eastAsia="宋体"/>
                <w:b/>
                <w:sz w:val="24"/>
                <w:szCs w:val="24"/>
              </w:rPr>
            </w:pPr>
            <w:r w:rsidRPr="00480558">
              <w:rPr>
                <w:rFonts w:ascii="宋体" w:eastAsia="宋体" w:hint="eastAsia"/>
                <w:b/>
                <w:sz w:val="24"/>
                <w:szCs w:val="24"/>
              </w:rPr>
              <w:t>百分比（%）</w:t>
            </w:r>
          </w:p>
        </w:tc>
      </w:tr>
      <w:tr w:rsidR="00D731F7" w:rsidTr="00D731F7">
        <w:trPr>
          <w:trHeight w:val="440"/>
        </w:trPr>
        <w:tc>
          <w:tcPr>
            <w:tcW w:w="3510" w:type="dxa"/>
            <w:vAlign w:val="center"/>
          </w:tcPr>
          <w:p w:rsidR="00D731F7" w:rsidRPr="00D731F7" w:rsidRDefault="00B57C53" w:rsidP="00D731F7">
            <w:pPr>
              <w:jc w:val="center"/>
              <w:rPr>
                <w:rFonts w:ascii="宋体" w:eastAsia="宋体"/>
                <w:sz w:val="24"/>
                <w:szCs w:val="24"/>
              </w:rPr>
            </w:pPr>
            <w:r>
              <w:rPr>
                <w:rFonts w:ascii="宋体" w:eastAsia="宋体" w:hint="eastAsia"/>
                <w:sz w:val="24"/>
                <w:szCs w:val="24"/>
              </w:rPr>
              <w:t>适用法律错误</w:t>
            </w:r>
          </w:p>
        </w:tc>
        <w:tc>
          <w:tcPr>
            <w:tcW w:w="2497" w:type="dxa"/>
            <w:vAlign w:val="center"/>
          </w:tcPr>
          <w:p w:rsidR="00D731F7" w:rsidRPr="00D731F7" w:rsidRDefault="005711B7" w:rsidP="00D731F7">
            <w:pPr>
              <w:jc w:val="center"/>
              <w:rPr>
                <w:rFonts w:ascii="宋体" w:eastAsia="宋体"/>
                <w:sz w:val="24"/>
                <w:szCs w:val="24"/>
              </w:rPr>
            </w:pPr>
            <w:r>
              <w:rPr>
                <w:rFonts w:ascii="宋体" w:eastAsia="宋体" w:hint="eastAsia"/>
                <w:sz w:val="24"/>
                <w:szCs w:val="24"/>
              </w:rPr>
              <w:t>2</w:t>
            </w:r>
          </w:p>
        </w:tc>
        <w:tc>
          <w:tcPr>
            <w:tcW w:w="3004" w:type="dxa"/>
            <w:vAlign w:val="center"/>
          </w:tcPr>
          <w:p w:rsidR="00D731F7" w:rsidRPr="00D731F7" w:rsidRDefault="005711B7" w:rsidP="00D731F7">
            <w:pPr>
              <w:jc w:val="center"/>
              <w:rPr>
                <w:rFonts w:ascii="宋体" w:eastAsia="宋体"/>
                <w:sz w:val="24"/>
                <w:szCs w:val="24"/>
              </w:rPr>
            </w:pPr>
            <w:r>
              <w:rPr>
                <w:rFonts w:ascii="宋体" w:eastAsia="宋体" w:hint="eastAsia"/>
                <w:sz w:val="24"/>
                <w:szCs w:val="24"/>
              </w:rPr>
              <w:t>40</w:t>
            </w:r>
            <w:r w:rsidR="00B57C53">
              <w:rPr>
                <w:rFonts w:ascii="宋体" w:eastAsia="宋体" w:hint="eastAsia"/>
                <w:sz w:val="24"/>
                <w:szCs w:val="24"/>
              </w:rPr>
              <w:t>.00</w:t>
            </w:r>
            <w:r w:rsidR="00C66085">
              <w:rPr>
                <w:rFonts w:ascii="宋体" w:eastAsia="宋体" w:hint="eastAsia"/>
                <w:sz w:val="24"/>
                <w:szCs w:val="24"/>
              </w:rPr>
              <w:t>%</w:t>
            </w:r>
          </w:p>
        </w:tc>
      </w:tr>
      <w:tr w:rsidR="00B57C53" w:rsidTr="00D731F7">
        <w:trPr>
          <w:trHeight w:val="440"/>
        </w:trPr>
        <w:tc>
          <w:tcPr>
            <w:tcW w:w="3510" w:type="dxa"/>
            <w:vAlign w:val="center"/>
          </w:tcPr>
          <w:p w:rsidR="00B57C53" w:rsidRPr="00D731F7" w:rsidRDefault="00B57C53" w:rsidP="008D59AF">
            <w:pPr>
              <w:jc w:val="center"/>
              <w:rPr>
                <w:rFonts w:ascii="宋体" w:eastAsia="宋体"/>
                <w:sz w:val="24"/>
                <w:szCs w:val="24"/>
              </w:rPr>
            </w:pPr>
            <w:r w:rsidRPr="00D731F7">
              <w:rPr>
                <w:rFonts w:ascii="宋体" w:eastAsia="宋体" w:hint="eastAsia"/>
                <w:sz w:val="24"/>
                <w:szCs w:val="24"/>
              </w:rPr>
              <w:t>认定事实不清</w:t>
            </w:r>
            <w:r>
              <w:rPr>
                <w:rFonts w:ascii="宋体" w:eastAsia="宋体" w:hint="eastAsia"/>
                <w:sz w:val="24"/>
                <w:szCs w:val="24"/>
              </w:rPr>
              <w:t>、证据不足</w:t>
            </w:r>
          </w:p>
        </w:tc>
        <w:tc>
          <w:tcPr>
            <w:tcW w:w="2497" w:type="dxa"/>
            <w:vAlign w:val="center"/>
          </w:tcPr>
          <w:p w:rsidR="00B57C53" w:rsidRPr="00D731F7" w:rsidRDefault="00B57C53" w:rsidP="008D59AF">
            <w:pPr>
              <w:jc w:val="center"/>
              <w:rPr>
                <w:rFonts w:ascii="宋体" w:eastAsia="宋体"/>
                <w:sz w:val="24"/>
                <w:szCs w:val="24"/>
              </w:rPr>
            </w:pPr>
            <w:r>
              <w:rPr>
                <w:rFonts w:ascii="宋体" w:eastAsia="宋体" w:hint="eastAsia"/>
                <w:sz w:val="24"/>
                <w:szCs w:val="24"/>
              </w:rPr>
              <w:t>3</w:t>
            </w:r>
          </w:p>
        </w:tc>
        <w:tc>
          <w:tcPr>
            <w:tcW w:w="3004" w:type="dxa"/>
            <w:vAlign w:val="center"/>
          </w:tcPr>
          <w:p w:rsidR="00B57C53" w:rsidRDefault="005711B7" w:rsidP="00D731F7">
            <w:pPr>
              <w:jc w:val="center"/>
              <w:rPr>
                <w:rFonts w:ascii="宋体" w:eastAsia="宋体"/>
                <w:sz w:val="24"/>
                <w:szCs w:val="24"/>
              </w:rPr>
            </w:pPr>
            <w:r>
              <w:rPr>
                <w:rFonts w:ascii="宋体" w:eastAsia="宋体" w:hint="eastAsia"/>
                <w:sz w:val="24"/>
                <w:szCs w:val="24"/>
              </w:rPr>
              <w:t>60</w:t>
            </w:r>
            <w:r w:rsidR="00B57C53">
              <w:rPr>
                <w:rFonts w:ascii="宋体" w:eastAsia="宋体" w:hint="eastAsia"/>
                <w:sz w:val="24"/>
                <w:szCs w:val="24"/>
              </w:rPr>
              <w:t>.00</w:t>
            </w:r>
            <w:r w:rsidR="00C66085">
              <w:rPr>
                <w:rFonts w:ascii="宋体" w:eastAsia="宋体" w:hint="eastAsia"/>
                <w:sz w:val="24"/>
                <w:szCs w:val="24"/>
              </w:rPr>
              <w:t>%</w:t>
            </w:r>
          </w:p>
        </w:tc>
      </w:tr>
    </w:tbl>
    <w:p w:rsidR="00D731F7" w:rsidRPr="00D300CA" w:rsidRDefault="00D731F7" w:rsidP="00D731F7">
      <w:pPr>
        <w:snapToGrid w:val="0"/>
        <w:spacing w:line="360" w:lineRule="auto"/>
        <w:rPr>
          <w:color w:val="000000"/>
          <w:sz w:val="18"/>
          <w:szCs w:val="18"/>
        </w:rPr>
      </w:pPr>
    </w:p>
    <w:p w:rsidR="00EB4F83" w:rsidRPr="00E50E2C" w:rsidRDefault="00821A47" w:rsidP="00821A47">
      <w:pPr>
        <w:snapToGrid w:val="0"/>
        <w:spacing w:line="360" w:lineRule="auto"/>
        <w:ind w:firstLineChars="200" w:firstLine="640"/>
        <w:rPr>
          <w:color w:val="000000"/>
        </w:rPr>
      </w:pPr>
      <w:r>
        <w:rPr>
          <w:rFonts w:hint="eastAsia"/>
          <w:color w:val="000000"/>
        </w:rPr>
        <w:t>2.</w:t>
      </w:r>
      <w:r w:rsidR="00E50E2C" w:rsidRPr="00E50E2C">
        <w:rPr>
          <w:rFonts w:hint="eastAsia"/>
          <w:color w:val="000000"/>
        </w:rPr>
        <w:t>民事案件</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2572"/>
        <w:gridCol w:w="2957"/>
      </w:tblGrid>
      <w:tr w:rsidR="00D731F7" w:rsidTr="001C1C55">
        <w:trPr>
          <w:trHeight w:val="418"/>
        </w:trPr>
        <w:tc>
          <w:tcPr>
            <w:tcW w:w="3510" w:type="dxa"/>
          </w:tcPr>
          <w:p w:rsidR="00D731F7" w:rsidRPr="00480558" w:rsidRDefault="00D731F7" w:rsidP="001C1C55">
            <w:pPr>
              <w:jc w:val="center"/>
              <w:rPr>
                <w:rFonts w:ascii="宋体" w:eastAsia="宋体"/>
                <w:b/>
                <w:sz w:val="24"/>
                <w:szCs w:val="24"/>
              </w:rPr>
            </w:pPr>
            <w:r w:rsidRPr="00480558">
              <w:rPr>
                <w:rFonts w:ascii="宋体" w:eastAsia="宋体" w:hint="eastAsia"/>
                <w:b/>
                <w:sz w:val="24"/>
                <w:szCs w:val="24"/>
              </w:rPr>
              <w:t>业务部门</w:t>
            </w:r>
          </w:p>
        </w:tc>
        <w:tc>
          <w:tcPr>
            <w:tcW w:w="2572" w:type="dxa"/>
          </w:tcPr>
          <w:p w:rsidR="00D731F7" w:rsidRPr="00480558" w:rsidRDefault="00D731F7" w:rsidP="001C1C55">
            <w:pPr>
              <w:jc w:val="center"/>
              <w:rPr>
                <w:rFonts w:ascii="宋体" w:eastAsia="宋体"/>
                <w:b/>
                <w:sz w:val="24"/>
                <w:szCs w:val="24"/>
              </w:rPr>
            </w:pPr>
            <w:r w:rsidRPr="00480558">
              <w:rPr>
                <w:rFonts w:ascii="宋体" w:eastAsia="宋体" w:hint="eastAsia"/>
                <w:b/>
                <w:sz w:val="24"/>
                <w:szCs w:val="24"/>
              </w:rPr>
              <w:t>件数</w:t>
            </w:r>
          </w:p>
        </w:tc>
        <w:tc>
          <w:tcPr>
            <w:tcW w:w="2957" w:type="dxa"/>
          </w:tcPr>
          <w:p w:rsidR="00D731F7" w:rsidRPr="00480558" w:rsidRDefault="00D731F7" w:rsidP="001C1C55">
            <w:pPr>
              <w:jc w:val="center"/>
              <w:rPr>
                <w:rFonts w:ascii="宋体" w:eastAsia="宋体"/>
                <w:b/>
                <w:sz w:val="24"/>
                <w:szCs w:val="24"/>
              </w:rPr>
            </w:pPr>
            <w:r w:rsidRPr="00480558">
              <w:rPr>
                <w:rFonts w:ascii="宋体" w:eastAsia="宋体" w:hint="eastAsia"/>
                <w:b/>
                <w:sz w:val="24"/>
                <w:szCs w:val="24"/>
              </w:rPr>
              <w:t>百分比（%）</w:t>
            </w:r>
          </w:p>
        </w:tc>
      </w:tr>
      <w:tr w:rsidR="00D731F7" w:rsidTr="001C1C55">
        <w:trPr>
          <w:trHeight w:val="432"/>
        </w:trPr>
        <w:tc>
          <w:tcPr>
            <w:tcW w:w="3510" w:type="dxa"/>
          </w:tcPr>
          <w:p w:rsidR="00D731F7" w:rsidRPr="001C1C55" w:rsidRDefault="00D731F7" w:rsidP="001C1C55">
            <w:pPr>
              <w:jc w:val="center"/>
              <w:rPr>
                <w:rFonts w:ascii="宋体" w:eastAsia="宋体"/>
                <w:sz w:val="24"/>
                <w:szCs w:val="24"/>
              </w:rPr>
            </w:pPr>
            <w:r w:rsidRPr="001C1C55">
              <w:rPr>
                <w:rFonts w:ascii="宋体" w:eastAsia="宋体" w:hint="eastAsia"/>
                <w:sz w:val="24"/>
                <w:szCs w:val="24"/>
              </w:rPr>
              <w:t>民事审判一庭</w:t>
            </w:r>
          </w:p>
        </w:tc>
        <w:tc>
          <w:tcPr>
            <w:tcW w:w="2572" w:type="dxa"/>
          </w:tcPr>
          <w:p w:rsidR="00D731F7" w:rsidRPr="001C1C55" w:rsidRDefault="005711B7" w:rsidP="001C1C55">
            <w:pPr>
              <w:jc w:val="center"/>
              <w:rPr>
                <w:rFonts w:ascii="宋体" w:eastAsia="宋体"/>
                <w:sz w:val="24"/>
                <w:szCs w:val="24"/>
              </w:rPr>
            </w:pPr>
            <w:r>
              <w:rPr>
                <w:rFonts w:ascii="宋体" w:eastAsia="宋体" w:hint="eastAsia"/>
                <w:sz w:val="24"/>
                <w:szCs w:val="24"/>
              </w:rPr>
              <w:t>11</w:t>
            </w:r>
          </w:p>
        </w:tc>
        <w:tc>
          <w:tcPr>
            <w:tcW w:w="2957" w:type="dxa"/>
          </w:tcPr>
          <w:p w:rsidR="00D731F7" w:rsidRPr="001C1C55" w:rsidRDefault="005711B7" w:rsidP="006D1C87">
            <w:pPr>
              <w:jc w:val="center"/>
              <w:rPr>
                <w:rFonts w:ascii="宋体" w:eastAsia="宋体"/>
                <w:sz w:val="24"/>
                <w:szCs w:val="24"/>
              </w:rPr>
            </w:pPr>
            <w:r>
              <w:rPr>
                <w:rFonts w:ascii="宋体" w:eastAsia="宋体" w:hint="eastAsia"/>
                <w:sz w:val="24"/>
                <w:szCs w:val="24"/>
              </w:rPr>
              <w:t>45.83</w:t>
            </w:r>
            <w:r w:rsidR="00C66085">
              <w:rPr>
                <w:rFonts w:ascii="宋体" w:eastAsia="宋体" w:hint="eastAsia"/>
                <w:sz w:val="24"/>
                <w:szCs w:val="24"/>
              </w:rPr>
              <w:t>%</w:t>
            </w:r>
          </w:p>
        </w:tc>
      </w:tr>
      <w:tr w:rsidR="00D731F7" w:rsidTr="001C1C55">
        <w:trPr>
          <w:trHeight w:val="432"/>
        </w:trPr>
        <w:tc>
          <w:tcPr>
            <w:tcW w:w="3510" w:type="dxa"/>
          </w:tcPr>
          <w:p w:rsidR="00D731F7" w:rsidRPr="001C1C55" w:rsidRDefault="00D731F7" w:rsidP="001C1C55">
            <w:pPr>
              <w:jc w:val="center"/>
              <w:rPr>
                <w:rFonts w:ascii="宋体" w:eastAsia="宋体"/>
                <w:sz w:val="24"/>
                <w:szCs w:val="24"/>
              </w:rPr>
            </w:pPr>
            <w:r w:rsidRPr="001C1C55">
              <w:rPr>
                <w:rFonts w:ascii="宋体" w:eastAsia="宋体" w:hint="eastAsia"/>
                <w:sz w:val="24"/>
                <w:szCs w:val="24"/>
              </w:rPr>
              <w:t>民事审判二庭</w:t>
            </w:r>
          </w:p>
        </w:tc>
        <w:tc>
          <w:tcPr>
            <w:tcW w:w="2572" w:type="dxa"/>
          </w:tcPr>
          <w:p w:rsidR="00D731F7" w:rsidRPr="001C1C55" w:rsidRDefault="005711B7" w:rsidP="001C1C55">
            <w:pPr>
              <w:jc w:val="center"/>
              <w:rPr>
                <w:rFonts w:ascii="宋体" w:eastAsia="宋体"/>
                <w:sz w:val="24"/>
                <w:szCs w:val="24"/>
              </w:rPr>
            </w:pPr>
            <w:r>
              <w:rPr>
                <w:rFonts w:ascii="宋体" w:eastAsia="宋体" w:hint="eastAsia"/>
                <w:sz w:val="24"/>
                <w:szCs w:val="24"/>
              </w:rPr>
              <w:t>7</w:t>
            </w:r>
          </w:p>
        </w:tc>
        <w:tc>
          <w:tcPr>
            <w:tcW w:w="2957" w:type="dxa"/>
          </w:tcPr>
          <w:p w:rsidR="00D731F7" w:rsidRPr="001C1C55" w:rsidRDefault="005711B7" w:rsidP="001C1C55">
            <w:pPr>
              <w:jc w:val="center"/>
              <w:rPr>
                <w:rFonts w:ascii="宋体" w:eastAsia="宋体"/>
                <w:sz w:val="24"/>
                <w:szCs w:val="24"/>
              </w:rPr>
            </w:pPr>
            <w:r>
              <w:rPr>
                <w:rFonts w:ascii="宋体" w:eastAsia="宋体" w:hint="eastAsia"/>
                <w:sz w:val="24"/>
                <w:szCs w:val="24"/>
              </w:rPr>
              <w:t>29.17</w:t>
            </w:r>
            <w:r w:rsidR="00C66085">
              <w:rPr>
                <w:rFonts w:ascii="宋体" w:eastAsia="宋体" w:hint="eastAsia"/>
                <w:sz w:val="24"/>
                <w:szCs w:val="24"/>
              </w:rPr>
              <w:t>%</w:t>
            </w:r>
          </w:p>
        </w:tc>
      </w:tr>
      <w:tr w:rsidR="00D731F7" w:rsidTr="001C1C55">
        <w:trPr>
          <w:trHeight w:val="432"/>
        </w:trPr>
        <w:tc>
          <w:tcPr>
            <w:tcW w:w="3510" w:type="dxa"/>
          </w:tcPr>
          <w:p w:rsidR="00D731F7" w:rsidRPr="001C1C55" w:rsidRDefault="00D731F7" w:rsidP="001C1C55">
            <w:pPr>
              <w:jc w:val="center"/>
              <w:rPr>
                <w:rFonts w:ascii="宋体" w:eastAsia="宋体"/>
                <w:sz w:val="24"/>
                <w:szCs w:val="24"/>
              </w:rPr>
            </w:pPr>
            <w:r w:rsidRPr="001C1C55">
              <w:rPr>
                <w:rFonts w:ascii="宋体" w:eastAsia="宋体" w:hint="eastAsia"/>
                <w:sz w:val="24"/>
                <w:szCs w:val="24"/>
              </w:rPr>
              <w:t>头道法庭</w:t>
            </w:r>
          </w:p>
        </w:tc>
        <w:tc>
          <w:tcPr>
            <w:tcW w:w="2572" w:type="dxa"/>
          </w:tcPr>
          <w:p w:rsidR="00D731F7" w:rsidRPr="001C1C55" w:rsidRDefault="005711B7" w:rsidP="001C1C55">
            <w:pPr>
              <w:jc w:val="center"/>
              <w:rPr>
                <w:rFonts w:ascii="宋体" w:eastAsia="宋体"/>
                <w:sz w:val="24"/>
                <w:szCs w:val="24"/>
              </w:rPr>
            </w:pPr>
            <w:r>
              <w:rPr>
                <w:rFonts w:ascii="宋体" w:eastAsia="宋体" w:hint="eastAsia"/>
                <w:sz w:val="24"/>
                <w:szCs w:val="24"/>
              </w:rPr>
              <w:t>6</w:t>
            </w:r>
          </w:p>
        </w:tc>
        <w:tc>
          <w:tcPr>
            <w:tcW w:w="2957" w:type="dxa"/>
          </w:tcPr>
          <w:p w:rsidR="00D731F7" w:rsidRPr="001C1C55" w:rsidRDefault="005711B7" w:rsidP="00247514">
            <w:pPr>
              <w:jc w:val="center"/>
              <w:rPr>
                <w:rFonts w:ascii="宋体" w:eastAsia="宋体"/>
                <w:sz w:val="24"/>
                <w:szCs w:val="24"/>
              </w:rPr>
            </w:pPr>
            <w:r>
              <w:rPr>
                <w:rFonts w:ascii="宋体" w:eastAsia="宋体" w:hint="eastAsia"/>
                <w:sz w:val="24"/>
                <w:szCs w:val="24"/>
              </w:rPr>
              <w:t>25.00</w:t>
            </w:r>
            <w:r w:rsidR="00C66085">
              <w:rPr>
                <w:rFonts w:ascii="宋体" w:eastAsia="宋体" w:hint="eastAsia"/>
                <w:sz w:val="24"/>
                <w:szCs w:val="24"/>
              </w:rPr>
              <w:t>%</w:t>
            </w:r>
          </w:p>
        </w:tc>
      </w:tr>
    </w:tbl>
    <w:p w:rsidR="00E63BD4" w:rsidRPr="00D300CA" w:rsidRDefault="00E63BD4" w:rsidP="00EB4F83">
      <w:pPr>
        <w:snapToGrid w:val="0"/>
        <w:spacing w:line="360" w:lineRule="auto"/>
        <w:rPr>
          <w:color w:val="000000"/>
          <w:sz w:val="15"/>
          <w:szCs w:val="15"/>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2552"/>
        <w:gridCol w:w="2977"/>
      </w:tblGrid>
      <w:tr w:rsidR="00D731F7" w:rsidTr="00D731F7">
        <w:tc>
          <w:tcPr>
            <w:tcW w:w="3510" w:type="dxa"/>
          </w:tcPr>
          <w:p w:rsidR="00D731F7" w:rsidRPr="00480558" w:rsidRDefault="00D731F7" w:rsidP="00D731F7">
            <w:pPr>
              <w:jc w:val="center"/>
              <w:rPr>
                <w:rFonts w:ascii="宋体" w:eastAsia="宋体"/>
                <w:b/>
                <w:sz w:val="24"/>
                <w:szCs w:val="24"/>
              </w:rPr>
            </w:pPr>
            <w:r w:rsidRPr="00480558">
              <w:rPr>
                <w:rFonts w:ascii="宋体" w:eastAsia="宋体" w:hint="eastAsia"/>
                <w:b/>
                <w:sz w:val="24"/>
                <w:szCs w:val="24"/>
              </w:rPr>
              <w:t>发改原因</w:t>
            </w:r>
          </w:p>
        </w:tc>
        <w:tc>
          <w:tcPr>
            <w:tcW w:w="2552" w:type="dxa"/>
          </w:tcPr>
          <w:p w:rsidR="00D731F7" w:rsidRPr="00480558" w:rsidRDefault="00D731F7" w:rsidP="00D731F7">
            <w:pPr>
              <w:jc w:val="center"/>
              <w:rPr>
                <w:rFonts w:ascii="宋体" w:eastAsia="宋体"/>
                <w:b/>
                <w:sz w:val="24"/>
                <w:szCs w:val="24"/>
              </w:rPr>
            </w:pPr>
            <w:r w:rsidRPr="00480558">
              <w:rPr>
                <w:rFonts w:ascii="宋体" w:eastAsia="宋体" w:hint="eastAsia"/>
                <w:b/>
                <w:sz w:val="24"/>
                <w:szCs w:val="24"/>
              </w:rPr>
              <w:t>件数</w:t>
            </w:r>
          </w:p>
        </w:tc>
        <w:tc>
          <w:tcPr>
            <w:tcW w:w="2977" w:type="dxa"/>
          </w:tcPr>
          <w:p w:rsidR="00D731F7" w:rsidRPr="00480558" w:rsidRDefault="00D731F7" w:rsidP="00D731F7">
            <w:pPr>
              <w:jc w:val="center"/>
              <w:rPr>
                <w:rFonts w:ascii="宋体" w:eastAsia="宋体"/>
                <w:b/>
                <w:sz w:val="24"/>
                <w:szCs w:val="24"/>
              </w:rPr>
            </w:pPr>
            <w:r w:rsidRPr="00480558">
              <w:rPr>
                <w:rFonts w:ascii="宋体" w:eastAsia="宋体" w:hint="eastAsia"/>
                <w:b/>
                <w:sz w:val="24"/>
                <w:szCs w:val="24"/>
              </w:rPr>
              <w:t>百分比（%）</w:t>
            </w:r>
          </w:p>
        </w:tc>
      </w:tr>
      <w:tr w:rsidR="00C80272" w:rsidTr="00746BCA">
        <w:tc>
          <w:tcPr>
            <w:tcW w:w="3510" w:type="dxa"/>
          </w:tcPr>
          <w:p w:rsidR="00C80272" w:rsidRPr="00D731F7" w:rsidRDefault="00C80272" w:rsidP="00D731F7">
            <w:pPr>
              <w:jc w:val="center"/>
              <w:rPr>
                <w:rFonts w:ascii="宋体" w:eastAsia="宋体"/>
                <w:sz w:val="24"/>
                <w:szCs w:val="24"/>
              </w:rPr>
            </w:pPr>
            <w:r w:rsidRPr="00D731F7">
              <w:rPr>
                <w:rFonts w:ascii="宋体" w:eastAsia="宋体" w:hint="eastAsia"/>
                <w:sz w:val="24"/>
                <w:szCs w:val="24"/>
              </w:rPr>
              <w:t>适用法律错误</w:t>
            </w:r>
          </w:p>
        </w:tc>
        <w:tc>
          <w:tcPr>
            <w:tcW w:w="2552" w:type="dxa"/>
          </w:tcPr>
          <w:p w:rsidR="00C80272" w:rsidRPr="004612B9" w:rsidRDefault="00C80272" w:rsidP="00D731F7">
            <w:pPr>
              <w:jc w:val="center"/>
              <w:rPr>
                <w:rFonts w:ascii="宋体" w:eastAsia="宋体"/>
                <w:sz w:val="24"/>
                <w:szCs w:val="24"/>
              </w:rPr>
            </w:pPr>
            <w:r w:rsidRPr="004612B9">
              <w:rPr>
                <w:rFonts w:ascii="宋体" w:eastAsia="宋体" w:hint="eastAsia"/>
                <w:sz w:val="24"/>
                <w:szCs w:val="24"/>
              </w:rPr>
              <w:t>4</w:t>
            </w:r>
          </w:p>
        </w:tc>
        <w:tc>
          <w:tcPr>
            <w:tcW w:w="2977" w:type="dxa"/>
            <w:vAlign w:val="bottom"/>
          </w:tcPr>
          <w:p w:rsidR="00C80272" w:rsidRPr="00C80272" w:rsidRDefault="00C80272" w:rsidP="00C80272">
            <w:pPr>
              <w:jc w:val="center"/>
              <w:rPr>
                <w:rFonts w:ascii="宋体" w:eastAsia="宋体"/>
                <w:sz w:val="24"/>
                <w:szCs w:val="24"/>
              </w:rPr>
            </w:pPr>
            <w:r w:rsidRPr="00C80272">
              <w:rPr>
                <w:rFonts w:ascii="宋体" w:eastAsia="宋体"/>
                <w:sz w:val="24"/>
                <w:szCs w:val="24"/>
              </w:rPr>
              <w:t>16.67%</w:t>
            </w:r>
          </w:p>
        </w:tc>
      </w:tr>
      <w:tr w:rsidR="00C80272" w:rsidTr="00746BCA">
        <w:tc>
          <w:tcPr>
            <w:tcW w:w="3510" w:type="dxa"/>
          </w:tcPr>
          <w:p w:rsidR="00C80272" w:rsidRPr="00D731F7" w:rsidRDefault="00C80272" w:rsidP="00D731F7">
            <w:pPr>
              <w:jc w:val="center"/>
              <w:rPr>
                <w:rFonts w:ascii="宋体" w:eastAsia="宋体"/>
                <w:sz w:val="24"/>
                <w:szCs w:val="24"/>
              </w:rPr>
            </w:pPr>
            <w:r w:rsidRPr="005808CC">
              <w:rPr>
                <w:rFonts w:ascii="宋体" w:eastAsia="宋体" w:hint="eastAsia"/>
                <w:sz w:val="24"/>
                <w:szCs w:val="24"/>
              </w:rPr>
              <w:t>违反其他法定诉讼程序</w:t>
            </w:r>
          </w:p>
        </w:tc>
        <w:tc>
          <w:tcPr>
            <w:tcW w:w="2552" w:type="dxa"/>
          </w:tcPr>
          <w:p w:rsidR="00C80272" w:rsidRPr="004612B9" w:rsidRDefault="00C80272" w:rsidP="00AF410E">
            <w:pPr>
              <w:jc w:val="center"/>
              <w:rPr>
                <w:rFonts w:ascii="宋体" w:eastAsia="宋体"/>
                <w:sz w:val="24"/>
                <w:szCs w:val="24"/>
              </w:rPr>
            </w:pPr>
            <w:r w:rsidRPr="004612B9">
              <w:rPr>
                <w:rFonts w:ascii="宋体" w:eastAsia="宋体" w:hint="eastAsia"/>
                <w:sz w:val="24"/>
                <w:szCs w:val="24"/>
              </w:rPr>
              <w:t>1</w:t>
            </w:r>
          </w:p>
        </w:tc>
        <w:tc>
          <w:tcPr>
            <w:tcW w:w="2977" w:type="dxa"/>
            <w:vAlign w:val="bottom"/>
          </w:tcPr>
          <w:p w:rsidR="00C80272" w:rsidRPr="00C80272" w:rsidRDefault="00C80272" w:rsidP="00C80272">
            <w:pPr>
              <w:jc w:val="center"/>
              <w:rPr>
                <w:rFonts w:ascii="宋体" w:eastAsia="宋体"/>
                <w:sz w:val="24"/>
                <w:szCs w:val="24"/>
              </w:rPr>
            </w:pPr>
            <w:r w:rsidRPr="00C80272">
              <w:rPr>
                <w:rFonts w:ascii="宋体" w:eastAsia="宋体"/>
                <w:sz w:val="24"/>
                <w:szCs w:val="24"/>
              </w:rPr>
              <w:t>4.17%</w:t>
            </w:r>
          </w:p>
        </w:tc>
      </w:tr>
      <w:tr w:rsidR="00C80272" w:rsidTr="00746BCA">
        <w:tc>
          <w:tcPr>
            <w:tcW w:w="3510" w:type="dxa"/>
          </w:tcPr>
          <w:p w:rsidR="00C80272" w:rsidRPr="00D731F7" w:rsidRDefault="00C80272" w:rsidP="00D731F7">
            <w:pPr>
              <w:jc w:val="center"/>
              <w:rPr>
                <w:rFonts w:ascii="宋体" w:eastAsia="宋体"/>
                <w:sz w:val="24"/>
                <w:szCs w:val="24"/>
              </w:rPr>
            </w:pPr>
            <w:r w:rsidRPr="00D731F7">
              <w:rPr>
                <w:rFonts w:ascii="宋体" w:eastAsia="宋体" w:hint="eastAsia"/>
                <w:sz w:val="24"/>
                <w:szCs w:val="24"/>
              </w:rPr>
              <w:t>认定事实不清</w:t>
            </w:r>
            <w:r>
              <w:rPr>
                <w:rFonts w:ascii="宋体" w:eastAsia="宋体" w:hint="eastAsia"/>
                <w:sz w:val="24"/>
                <w:szCs w:val="24"/>
              </w:rPr>
              <w:t>、错误</w:t>
            </w:r>
          </w:p>
        </w:tc>
        <w:tc>
          <w:tcPr>
            <w:tcW w:w="2552" w:type="dxa"/>
          </w:tcPr>
          <w:p w:rsidR="00C80272" w:rsidRPr="004612B9" w:rsidRDefault="00C80272" w:rsidP="00AF410E">
            <w:pPr>
              <w:jc w:val="center"/>
              <w:rPr>
                <w:rFonts w:ascii="宋体" w:eastAsia="宋体"/>
                <w:sz w:val="24"/>
                <w:szCs w:val="24"/>
              </w:rPr>
            </w:pPr>
            <w:r w:rsidRPr="004612B9">
              <w:rPr>
                <w:rFonts w:ascii="宋体" w:eastAsia="宋体" w:hint="eastAsia"/>
                <w:sz w:val="24"/>
                <w:szCs w:val="24"/>
              </w:rPr>
              <w:t>10</w:t>
            </w:r>
          </w:p>
        </w:tc>
        <w:tc>
          <w:tcPr>
            <w:tcW w:w="2977" w:type="dxa"/>
            <w:vAlign w:val="bottom"/>
          </w:tcPr>
          <w:p w:rsidR="00C80272" w:rsidRPr="00C80272" w:rsidRDefault="00C80272" w:rsidP="00C80272">
            <w:pPr>
              <w:jc w:val="center"/>
              <w:rPr>
                <w:rFonts w:ascii="宋体" w:eastAsia="宋体"/>
                <w:sz w:val="24"/>
                <w:szCs w:val="24"/>
              </w:rPr>
            </w:pPr>
            <w:r w:rsidRPr="00C80272">
              <w:rPr>
                <w:rFonts w:ascii="宋体" w:eastAsia="宋体"/>
                <w:sz w:val="24"/>
                <w:szCs w:val="24"/>
              </w:rPr>
              <w:t>41.67%</w:t>
            </w:r>
          </w:p>
        </w:tc>
      </w:tr>
      <w:tr w:rsidR="00C80272" w:rsidTr="00746BCA">
        <w:tc>
          <w:tcPr>
            <w:tcW w:w="3510" w:type="dxa"/>
          </w:tcPr>
          <w:p w:rsidR="00C80272" w:rsidRPr="00D731F7" w:rsidRDefault="00C80272" w:rsidP="00713698">
            <w:pPr>
              <w:jc w:val="center"/>
              <w:rPr>
                <w:rFonts w:ascii="宋体" w:eastAsia="宋体"/>
                <w:sz w:val="24"/>
                <w:szCs w:val="24"/>
              </w:rPr>
            </w:pPr>
            <w:r w:rsidRPr="00E13D9A">
              <w:rPr>
                <w:rFonts w:ascii="宋体" w:eastAsia="宋体" w:hint="eastAsia"/>
                <w:sz w:val="24"/>
                <w:szCs w:val="24"/>
              </w:rPr>
              <w:t>原判认定事实正确但处理不当</w:t>
            </w:r>
          </w:p>
        </w:tc>
        <w:tc>
          <w:tcPr>
            <w:tcW w:w="2552" w:type="dxa"/>
          </w:tcPr>
          <w:p w:rsidR="00C80272" w:rsidRPr="004612B9" w:rsidRDefault="00C80272" w:rsidP="00AF410E">
            <w:pPr>
              <w:jc w:val="center"/>
              <w:rPr>
                <w:rFonts w:ascii="宋体" w:eastAsia="宋体"/>
                <w:sz w:val="24"/>
                <w:szCs w:val="24"/>
              </w:rPr>
            </w:pPr>
            <w:r w:rsidRPr="004612B9">
              <w:rPr>
                <w:rFonts w:ascii="宋体" w:eastAsia="宋体" w:hint="eastAsia"/>
                <w:sz w:val="24"/>
                <w:szCs w:val="24"/>
              </w:rPr>
              <w:t>4</w:t>
            </w:r>
          </w:p>
        </w:tc>
        <w:tc>
          <w:tcPr>
            <w:tcW w:w="2977" w:type="dxa"/>
            <w:vAlign w:val="bottom"/>
          </w:tcPr>
          <w:p w:rsidR="00C80272" w:rsidRPr="00C80272" w:rsidRDefault="00C80272" w:rsidP="00C80272">
            <w:pPr>
              <w:jc w:val="center"/>
              <w:rPr>
                <w:rFonts w:ascii="宋体" w:eastAsia="宋体"/>
                <w:sz w:val="24"/>
                <w:szCs w:val="24"/>
              </w:rPr>
            </w:pPr>
            <w:r w:rsidRPr="00C80272">
              <w:rPr>
                <w:rFonts w:ascii="宋体" w:eastAsia="宋体"/>
                <w:sz w:val="24"/>
                <w:szCs w:val="24"/>
              </w:rPr>
              <w:t>16.67%</w:t>
            </w:r>
          </w:p>
        </w:tc>
      </w:tr>
      <w:tr w:rsidR="00C80272" w:rsidTr="00746BCA">
        <w:tc>
          <w:tcPr>
            <w:tcW w:w="3510" w:type="dxa"/>
          </w:tcPr>
          <w:p w:rsidR="00C80272" w:rsidRPr="00E13D9A" w:rsidRDefault="00C80272" w:rsidP="00713698">
            <w:pPr>
              <w:jc w:val="center"/>
              <w:rPr>
                <w:rFonts w:ascii="宋体" w:eastAsia="宋体"/>
                <w:sz w:val="24"/>
                <w:szCs w:val="24"/>
              </w:rPr>
            </w:pPr>
            <w:r>
              <w:rPr>
                <w:rFonts w:ascii="宋体" w:eastAsia="宋体" w:hint="eastAsia"/>
                <w:sz w:val="24"/>
                <w:szCs w:val="24"/>
              </w:rPr>
              <w:t>出现新的证据</w:t>
            </w:r>
          </w:p>
        </w:tc>
        <w:tc>
          <w:tcPr>
            <w:tcW w:w="2552" w:type="dxa"/>
          </w:tcPr>
          <w:p w:rsidR="00C80272" w:rsidRPr="004612B9" w:rsidRDefault="00C80272" w:rsidP="00AF410E">
            <w:pPr>
              <w:jc w:val="center"/>
              <w:rPr>
                <w:rFonts w:ascii="宋体" w:eastAsia="宋体"/>
                <w:sz w:val="24"/>
                <w:szCs w:val="24"/>
              </w:rPr>
            </w:pPr>
            <w:r w:rsidRPr="004612B9">
              <w:rPr>
                <w:rFonts w:ascii="宋体" w:eastAsia="宋体" w:hint="eastAsia"/>
                <w:sz w:val="24"/>
                <w:szCs w:val="24"/>
              </w:rPr>
              <w:t>3</w:t>
            </w:r>
          </w:p>
        </w:tc>
        <w:tc>
          <w:tcPr>
            <w:tcW w:w="2977" w:type="dxa"/>
            <w:vAlign w:val="bottom"/>
          </w:tcPr>
          <w:p w:rsidR="00C80272" w:rsidRPr="00C80272" w:rsidRDefault="00C80272" w:rsidP="00C80272">
            <w:pPr>
              <w:jc w:val="center"/>
              <w:rPr>
                <w:rFonts w:ascii="宋体" w:eastAsia="宋体"/>
                <w:sz w:val="24"/>
                <w:szCs w:val="24"/>
              </w:rPr>
            </w:pPr>
            <w:r w:rsidRPr="00C80272">
              <w:rPr>
                <w:rFonts w:ascii="宋体" w:eastAsia="宋体"/>
                <w:sz w:val="24"/>
                <w:szCs w:val="24"/>
              </w:rPr>
              <w:t>12.50%</w:t>
            </w:r>
          </w:p>
        </w:tc>
      </w:tr>
      <w:tr w:rsidR="00C80272" w:rsidTr="00746BCA">
        <w:tc>
          <w:tcPr>
            <w:tcW w:w="3510" w:type="dxa"/>
          </w:tcPr>
          <w:p w:rsidR="00C80272" w:rsidRPr="00E13D9A" w:rsidRDefault="00C80272" w:rsidP="00D731F7">
            <w:pPr>
              <w:jc w:val="center"/>
              <w:rPr>
                <w:rFonts w:ascii="宋体" w:eastAsia="宋体"/>
                <w:sz w:val="24"/>
                <w:szCs w:val="24"/>
              </w:rPr>
            </w:pPr>
            <w:r w:rsidRPr="004612B9">
              <w:rPr>
                <w:rFonts w:ascii="宋体" w:eastAsia="宋体" w:hint="eastAsia"/>
                <w:sz w:val="24"/>
                <w:szCs w:val="24"/>
              </w:rPr>
              <w:t>遗漏必须参加诉讼的当事人</w:t>
            </w:r>
          </w:p>
        </w:tc>
        <w:tc>
          <w:tcPr>
            <w:tcW w:w="2552" w:type="dxa"/>
          </w:tcPr>
          <w:p w:rsidR="00C80272" w:rsidRPr="004612B9" w:rsidRDefault="00C80272" w:rsidP="00AF410E">
            <w:pPr>
              <w:jc w:val="center"/>
              <w:rPr>
                <w:rFonts w:ascii="宋体" w:eastAsia="宋体"/>
                <w:sz w:val="24"/>
                <w:szCs w:val="24"/>
              </w:rPr>
            </w:pPr>
            <w:r w:rsidRPr="004612B9">
              <w:rPr>
                <w:rFonts w:ascii="宋体" w:eastAsia="宋体" w:hint="eastAsia"/>
                <w:sz w:val="24"/>
                <w:szCs w:val="24"/>
              </w:rPr>
              <w:t>2</w:t>
            </w:r>
          </w:p>
        </w:tc>
        <w:tc>
          <w:tcPr>
            <w:tcW w:w="2977" w:type="dxa"/>
            <w:vAlign w:val="bottom"/>
          </w:tcPr>
          <w:p w:rsidR="00C80272" w:rsidRPr="00C80272" w:rsidRDefault="00C80272" w:rsidP="00C80272">
            <w:pPr>
              <w:jc w:val="center"/>
              <w:rPr>
                <w:rFonts w:ascii="宋体" w:eastAsia="宋体"/>
                <w:sz w:val="24"/>
                <w:szCs w:val="24"/>
              </w:rPr>
            </w:pPr>
            <w:r w:rsidRPr="00C80272">
              <w:rPr>
                <w:rFonts w:ascii="宋体" w:eastAsia="宋体"/>
                <w:sz w:val="24"/>
                <w:szCs w:val="24"/>
              </w:rPr>
              <w:t>8.33%</w:t>
            </w:r>
          </w:p>
        </w:tc>
      </w:tr>
    </w:tbl>
    <w:p w:rsidR="00FD3582" w:rsidRDefault="00FD3582" w:rsidP="00FD3582">
      <w:pPr>
        <w:snapToGrid w:val="0"/>
        <w:spacing w:line="360" w:lineRule="auto"/>
        <w:rPr>
          <w:rFonts w:ascii="黑体" w:eastAsia="黑体" w:hAnsi="黑体"/>
          <w:b/>
          <w:color w:val="000000"/>
        </w:rPr>
      </w:pPr>
    </w:p>
    <w:p w:rsidR="00FD3582" w:rsidRDefault="00FD3582" w:rsidP="00FD3582">
      <w:pPr>
        <w:snapToGrid w:val="0"/>
        <w:spacing w:line="360" w:lineRule="auto"/>
        <w:rPr>
          <w:rFonts w:ascii="黑体" w:eastAsia="黑体" w:hAnsi="黑体"/>
          <w:b/>
          <w:color w:val="000000"/>
        </w:rPr>
      </w:pPr>
    </w:p>
    <w:p w:rsidR="00FD3582" w:rsidRDefault="00FD3582" w:rsidP="00FD3582">
      <w:pPr>
        <w:snapToGrid w:val="0"/>
        <w:spacing w:line="360" w:lineRule="auto"/>
        <w:rPr>
          <w:rFonts w:ascii="黑体" w:eastAsia="黑体" w:hAnsi="黑体"/>
          <w:b/>
          <w:color w:val="000000"/>
        </w:rPr>
      </w:pPr>
    </w:p>
    <w:p w:rsidR="00FD3582" w:rsidRDefault="00FD3582" w:rsidP="00FD3582">
      <w:pPr>
        <w:snapToGrid w:val="0"/>
        <w:spacing w:line="360" w:lineRule="auto"/>
        <w:rPr>
          <w:rFonts w:ascii="黑体" w:eastAsia="黑体" w:hAnsi="黑体"/>
          <w:b/>
          <w:color w:val="000000"/>
        </w:rPr>
      </w:pPr>
    </w:p>
    <w:p w:rsidR="00D300CA" w:rsidRPr="00821A47" w:rsidRDefault="00D300CA" w:rsidP="00FD3582">
      <w:pPr>
        <w:snapToGrid w:val="0"/>
        <w:spacing w:line="360" w:lineRule="auto"/>
        <w:rPr>
          <w:rFonts w:ascii="黑体" w:eastAsia="黑体" w:hAnsi="黑体"/>
          <w:color w:val="000000"/>
        </w:rPr>
      </w:pPr>
      <w:r w:rsidRPr="00114048">
        <w:rPr>
          <w:rFonts w:ascii="黑体" w:eastAsia="黑体" w:hAnsi="黑体" w:hint="eastAsia"/>
          <w:b/>
          <w:color w:val="000000"/>
        </w:rPr>
        <w:t>（三）法官办案情况</w:t>
      </w:r>
    </w:p>
    <w:p w:rsidR="00E63BD4" w:rsidRDefault="00636A9E" w:rsidP="00D300CA">
      <w:pPr>
        <w:snapToGrid w:val="0"/>
        <w:spacing w:line="360" w:lineRule="auto"/>
        <w:ind w:firstLineChars="200" w:firstLine="640"/>
        <w:rPr>
          <w:color w:val="000000"/>
        </w:rPr>
      </w:pPr>
      <w:r>
        <w:rPr>
          <w:rFonts w:hint="eastAsia"/>
          <w:color w:val="000000"/>
        </w:rPr>
        <w:t>2017年</w:t>
      </w:r>
      <w:r w:rsidR="005B0E79">
        <w:rPr>
          <w:rFonts w:hint="eastAsia"/>
          <w:color w:val="000000"/>
        </w:rPr>
        <w:t>三季度</w:t>
      </w:r>
      <w:r w:rsidR="0038110A">
        <w:rPr>
          <w:rFonts w:hint="eastAsia"/>
          <w:color w:val="000000"/>
        </w:rPr>
        <w:t>和龙市人民法院</w:t>
      </w:r>
      <w:r w:rsidR="00311C34">
        <w:rPr>
          <w:rFonts w:hint="eastAsia"/>
          <w:color w:val="000000"/>
        </w:rPr>
        <w:t>进入员额法官</w:t>
      </w:r>
      <w:r w:rsidR="00934704">
        <w:rPr>
          <w:rFonts w:hint="eastAsia"/>
          <w:color w:val="000000"/>
        </w:rPr>
        <w:t>25</w:t>
      </w:r>
      <w:r w:rsidR="00311C34">
        <w:rPr>
          <w:rFonts w:hint="eastAsia"/>
          <w:color w:val="000000"/>
        </w:rPr>
        <w:t>人，</w:t>
      </w:r>
      <w:r w:rsidR="00D300CA">
        <w:rPr>
          <w:rFonts w:hint="eastAsia"/>
          <w:color w:val="000000"/>
        </w:rPr>
        <w:t>员额法官人均收案数</w:t>
      </w:r>
      <w:r w:rsidR="005B0E79" w:rsidRPr="005B0E79">
        <w:rPr>
          <w:rFonts w:hint="eastAsia"/>
          <w:color w:val="000000"/>
        </w:rPr>
        <w:t>79.08</w:t>
      </w:r>
      <w:r w:rsidR="00114048">
        <w:rPr>
          <w:rFonts w:hint="eastAsia"/>
          <w:color w:val="000000"/>
        </w:rPr>
        <w:t>件</w:t>
      </w:r>
      <w:r w:rsidR="00783BB0">
        <w:rPr>
          <w:rFonts w:hint="eastAsia"/>
          <w:color w:val="000000"/>
        </w:rPr>
        <w:t>；</w:t>
      </w:r>
      <w:r w:rsidR="00D300CA">
        <w:rPr>
          <w:rFonts w:hint="eastAsia"/>
          <w:color w:val="000000"/>
        </w:rPr>
        <w:t>员额法官人均结案数</w:t>
      </w:r>
      <w:r w:rsidR="005B0E79" w:rsidRPr="005B0E79">
        <w:rPr>
          <w:rFonts w:hint="eastAsia"/>
          <w:color w:val="000000"/>
        </w:rPr>
        <w:t>56.48</w:t>
      </w:r>
      <w:r w:rsidR="00114048">
        <w:rPr>
          <w:rFonts w:hint="eastAsia"/>
          <w:color w:val="000000"/>
        </w:rPr>
        <w:t>件</w:t>
      </w:r>
      <w:r w:rsidR="00D300CA">
        <w:rPr>
          <w:rFonts w:hint="eastAsia"/>
          <w:color w:val="000000"/>
        </w:rPr>
        <w:t>。</w:t>
      </w:r>
    </w:p>
    <w:p w:rsidR="007E3933" w:rsidRDefault="00636A9E" w:rsidP="00170448">
      <w:pPr>
        <w:snapToGrid w:val="0"/>
        <w:spacing w:line="360" w:lineRule="auto"/>
        <w:ind w:firstLineChars="200" w:firstLine="640"/>
        <w:rPr>
          <w:color w:val="000000"/>
        </w:rPr>
      </w:pPr>
      <w:r>
        <w:rPr>
          <w:rFonts w:hint="eastAsia"/>
          <w:color w:val="000000"/>
        </w:rPr>
        <w:t>2017年</w:t>
      </w:r>
      <w:r w:rsidR="005B0E79">
        <w:rPr>
          <w:rFonts w:hint="eastAsia"/>
          <w:color w:val="000000"/>
        </w:rPr>
        <w:t>三季度</w:t>
      </w:r>
      <w:r w:rsidR="00357A8F" w:rsidRPr="000A6761">
        <w:rPr>
          <w:rFonts w:hint="eastAsia"/>
          <w:color w:val="000000"/>
        </w:rPr>
        <w:t>和龙市人民法院进入员额的</w:t>
      </w:r>
      <w:r w:rsidR="004E4A82">
        <w:rPr>
          <w:rFonts w:hint="eastAsia"/>
          <w:color w:val="000000"/>
        </w:rPr>
        <w:t>7</w:t>
      </w:r>
      <w:r w:rsidR="00357A8F" w:rsidRPr="000A6761">
        <w:rPr>
          <w:rFonts w:hint="eastAsia"/>
          <w:color w:val="000000"/>
        </w:rPr>
        <w:t>名院领导共承</w:t>
      </w:r>
      <w:r w:rsidR="00311C34" w:rsidRPr="000A6761">
        <w:rPr>
          <w:rFonts w:hint="eastAsia"/>
          <w:color w:val="000000"/>
        </w:rPr>
        <w:t>件</w:t>
      </w:r>
      <w:r w:rsidR="005B0E79">
        <w:rPr>
          <w:rFonts w:hint="eastAsia"/>
          <w:color w:val="000000"/>
        </w:rPr>
        <w:t>60</w:t>
      </w:r>
      <w:r w:rsidR="00437B5E" w:rsidRPr="000A6761">
        <w:rPr>
          <w:rFonts w:hint="eastAsia"/>
          <w:color w:val="000000"/>
        </w:rPr>
        <w:t>件，人均收案</w:t>
      </w:r>
      <w:r w:rsidR="005146CB">
        <w:rPr>
          <w:rFonts w:hint="eastAsia"/>
          <w:color w:val="000000"/>
        </w:rPr>
        <w:t>8.57</w:t>
      </w:r>
      <w:r w:rsidR="00437B5E" w:rsidRPr="000A6761">
        <w:rPr>
          <w:rFonts w:hint="eastAsia"/>
          <w:color w:val="000000"/>
        </w:rPr>
        <w:t>件；结案</w:t>
      </w:r>
      <w:r w:rsidR="000B487A">
        <w:rPr>
          <w:rFonts w:hint="eastAsia"/>
          <w:color w:val="000000"/>
        </w:rPr>
        <w:t>68</w:t>
      </w:r>
      <w:r w:rsidR="00437B5E" w:rsidRPr="000A6761">
        <w:rPr>
          <w:rFonts w:hint="eastAsia"/>
          <w:color w:val="000000"/>
        </w:rPr>
        <w:t>件，人均结案</w:t>
      </w:r>
      <w:r w:rsidR="000B487A">
        <w:rPr>
          <w:rFonts w:hint="eastAsia"/>
          <w:color w:val="000000"/>
        </w:rPr>
        <w:t>9.71</w:t>
      </w:r>
      <w:r w:rsidR="001F2BB7">
        <w:rPr>
          <w:rFonts w:hint="eastAsia"/>
          <w:color w:val="000000"/>
        </w:rPr>
        <w:t>件</w:t>
      </w:r>
      <w:r w:rsidR="00FD3582">
        <w:rPr>
          <w:rFonts w:hint="eastAsia"/>
          <w:color w:val="000000"/>
        </w:rPr>
        <w:t>（不</w:t>
      </w:r>
      <w:r w:rsidR="00FD3582">
        <w:rPr>
          <w:rFonts w:hint="eastAsia"/>
          <w:color w:val="000000"/>
        </w:rPr>
        <w:lastRenderedPageBreak/>
        <w:t>包括执行新系统）</w:t>
      </w:r>
      <w:r w:rsidR="001F2BB7">
        <w:rPr>
          <w:rFonts w:hint="eastAsia"/>
          <w:color w:val="000000"/>
        </w:rPr>
        <w:t xml:space="preserve">。 </w:t>
      </w:r>
    </w:p>
    <w:p w:rsidR="00323AB1" w:rsidRPr="00323AB1" w:rsidRDefault="00323AB1" w:rsidP="00323AB1">
      <w:pPr>
        <w:snapToGrid w:val="0"/>
        <w:spacing w:line="360" w:lineRule="auto"/>
        <w:ind w:firstLineChars="200" w:firstLine="260"/>
        <w:rPr>
          <w:color w:val="000000"/>
          <w:sz w:val="13"/>
          <w:szCs w:val="13"/>
        </w:rPr>
      </w:pPr>
    </w:p>
    <w:tbl>
      <w:tblPr>
        <w:tblW w:w="10104" w:type="dxa"/>
        <w:jc w:val="center"/>
        <w:tblInd w:w="-44" w:type="dxa"/>
        <w:tblLayout w:type="fixed"/>
        <w:tblCellMar>
          <w:left w:w="0" w:type="dxa"/>
          <w:right w:w="0" w:type="dxa"/>
        </w:tblCellMar>
        <w:tblLook w:val="04A0"/>
      </w:tblPr>
      <w:tblGrid>
        <w:gridCol w:w="763"/>
        <w:gridCol w:w="797"/>
        <w:gridCol w:w="402"/>
        <w:gridCol w:w="72"/>
        <w:gridCol w:w="388"/>
        <w:gridCol w:w="87"/>
        <w:gridCol w:w="353"/>
        <w:gridCol w:w="122"/>
        <w:gridCol w:w="338"/>
        <w:gridCol w:w="136"/>
        <w:gridCol w:w="344"/>
        <w:gridCol w:w="131"/>
        <w:gridCol w:w="329"/>
        <w:gridCol w:w="146"/>
        <w:gridCol w:w="274"/>
        <w:gridCol w:w="200"/>
        <w:gridCol w:w="280"/>
        <w:gridCol w:w="195"/>
        <w:gridCol w:w="245"/>
        <w:gridCol w:w="230"/>
        <w:gridCol w:w="290"/>
        <w:gridCol w:w="184"/>
        <w:gridCol w:w="276"/>
        <w:gridCol w:w="199"/>
        <w:gridCol w:w="301"/>
        <w:gridCol w:w="174"/>
        <w:gridCol w:w="306"/>
        <w:gridCol w:w="168"/>
        <w:gridCol w:w="312"/>
        <w:gridCol w:w="163"/>
        <w:gridCol w:w="317"/>
        <w:gridCol w:w="158"/>
        <w:gridCol w:w="262"/>
        <w:gridCol w:w="212"/>
        <w:gridCol w:w="368"/>
        <w:gridCol w:w="107"/>
        <w:gridCol w:w="475"/>
      </w:tblGrid>
      <w:tr w:rsidR="00170448" w:rsidRPr="000F222B" w:rsidTr="005B0E79">
        <w:trPr>
          <w:trHeight w:val="315"/>
          <w:jc w:val="center"/>
        </w:trPr>
        <w:tc>
          <w:tcPr>
            <w:tcW w:w="763" w:type="dxa"/>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姓名</w:t>
            </w:r>
          </w:p>
        </w:tc>
        <w:tc>
          <w:tcPr>
            <w:tcW w:w="797" w:type="dxa"/>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职务</w:t>
            </w:r>
          </w:p>
        </w:tc>
        <w:tc>
          <w:tcPr>
            <w:tcW w:w="949" w:type="dxa"/>
            <w:gridSpan w:val="4"/>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承办案件</w:t>
            </w:r>
          </w:p>
        </w:tc>
        <w:tc>
          <w:tcPr>
            <w:tcW w:w="949" w:type="dxa"/>
            <w:gridSpan w:val="4"/>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合议案件</w:t>
            </w:r>
          </w:p>
        </w:tc>
        <w:tc>
          <w:tcPr>
            <w:tcW w:w="950" w:type="dxa"/>
            <w:gridSpan w:val="4"/>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总计</w:t>
            </w:r>
          </w:p>
        </w:tc>
        <w:tc>
          <w:tcPr>
            <w:tcW w:w="949" w:type="dxa"/>
            <w:gridSpan w:val="4"/>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刑事</w:t>
            </w:r>
          </w:p>
        </w:tc>
        <w:tc>
          <w:tcPr>
            <w:tcW w:w="949" w:type="dxa"/>
            <w:gridSpan w:val="4"/>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民事</w:t>
            </w:r>
          </w:p>
        </w:tc>
        <w:tc>
          <w:tcPr>
            <w:tcW w:w="950" w:type="dxa"/>
            <w:gridSpan w:val="4"/>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行政</w:t>
            </w:r>
          </w:p>
        </w:tc>
        <w:tc>
          <w:tcPr>
            <w:tcW w:w="949" w:type="dxa"/>
            <w:gridSpan w:val="4"/>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赔偿</w:t>
            </w:r>
          </w:p>
        </w:tc>
        <w:tc>
          <w:tcPr>
            <w:tcW w:w="949" w:type="dxa"/>
            <w:gridSpan w:val="4"/>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执行</w:t>
            </w:r>
          </w:p>
        </w:tc>
        <w:tc>
          <w:tcPr>
            <w:tcW w:w="950" w:type="dxa"/>
            <w:gridSpan w:val="3"/>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审查监督</w:t>
            </w:r>
          </w:p>
        </w:tc>
      </w:tr>
      <w:tr w:rsidR="00170448" w:rsidRPr="000F222B" w:rsidTr="005B0E79">
        <w:trPr>
          <w:trHeight w:val="315"/>
          <w:jc w:val="center"/>
        </w:trPr>
        <w:tc>
          <w:tcPr>
            <w:tcW w:w="763" w:type="dxa"/>
            <w:vMerge/>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rPr>
                <w:rFonts w:ascii="宋体" w:eastAsia="宋体" w:cs="Arial"/>
                <w:b/>
                <w:bCs/>
                <w:color w:val="000000"/>
                <w:sz w:val="18"/>
                <w:szCs w:val="18"/>
              </w:rPr>
            </w:pPr>
          </w:p>
        </w:tc>
        <w:tc>
          <w:tcPr>
            <w:tcW w:w="797" w:type="dxa"/>
            <w:vMerge/>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rPr>
                <w:rFonts w:ascii="宋体" w:eastAsia="宋体" w:cs="Arial"/>
                <w:b/>
                <w:bCs/>
                <w:color w:val="000000"/>
                <w:sz w:val="18"/>
                <w:szCs w:val="18"/>
              </w:rPr>
            </w:pP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收案</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结案</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收案</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结案</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收案</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结案</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收案</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结案</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收案</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结案</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收案</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结案</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收案</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结案</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收案</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结案</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收案</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0F222B" w:rsidRDefault="00170448" w:rsidP="00100381">
            <w:pPr>
              <w:jc w:val="center"/>
              <w:rPr>
                <w:rFonts w:ascii="宋体" w:eastAsia="宋体" w:cs="Arial"/>
                <w:b/>
                <w:bCs/>
                <w:color w:val="000000"/>
                <w:sz w:val="18"/>
                <w:szCs w:val="18"/>
              </w:rPr>
            </w:pPr>
            <w:r w:rsidRPr="000F222B">
              <w:rPr>
                <w:rFonts w:ascii="宋体" w:eastAsia="宋体" w:cs="Arial"/>
                <w:b/>
                <w:bCs/>
                <w:color w:val="000000"/>
                <w:sz w:val="18"/>
                <w:szCs w:val="18"/>
              </w:rPr>
              <w:t>结案</w:t>
            </w:r>
          </w:p>
        </w:tc>
      </w:tr>
      <w:tr w:rsidR="005B0E79" w:rsidRPr="000F222B" w:rsidTr="005B0E79">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曹文吉</w:t>
            </w:r>
          </w:p>
        </w:tc>
        <w:tc>
          <w:tcPr>
            <w:tcW w:w="79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院长</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1</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r>
      <w:tr w:rsidR="005B0E79" w:rsidRPr="000F222B" w:rsidTr="005B0E79">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张日男</w:t>
            </w:r>
          </w:p>
        </w:tc>
        <w:tc>
          <w:tcPr>
            <w:tcW w:w="79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副院长</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1</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1</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r>
      <w:tr w:rsidR="005B0E79" w:rsidRPr="000F222B" w:rsidTr="005B0E79">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金虎哲</w:t>
            </w:r>
          </w:p>
        </w:tc>
        <w:tc>
          <w:tcPr>
            <w:tcW w:w="79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副院长</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1</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r>
      <w:tr w:rsidR="005B0E79" w:rsidRPr="000F222B" w:rsidTr="005B0E79">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李哲洙</w:t>
            </w:r>
          </w:p>
        </w:tc>
        <w:tc>
          <w:tcPr>
            <w:tcW w:w="79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副院长</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r>
      <w:tr w:rsidR="005B0E79" w:rsidRPr="000F222B" w:rsidTr="005B0E79">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薛海</w:t>
            </w:r>
          </w:p>
        </w:tc>
        <w:tc>
          <w:tcPr>
            <w:tcW w:w="79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副院长</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4</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29</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4</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29</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3</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28</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r>
      <w:tr w:rsidR="005B0E79" w:rsidRPr="000F222B" w:rsidTr="005B0E79">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Pr>
                <w:rFonts w:ascii="宋体" w:eastAsia="宋体" w:cs="Arial" w:hint="eastAsia"/>
                <w:bCs/>
                <w:color w:val="000000"/>
                <w:sz w:val="18"/>
                <w:szCs w:val="18"/>
              </w:rPr>
              <w:t>李龙俊</w:t>
            </w:r>
          </w:p>
        </w:tc>
        <w:tc>
          <w:tcPr>
            <w:tcW w:w="79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副院长</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Pr>
                <w:rFonts w:ascii="宋体" w:eastAsia="宋体" w:cs="Arial" w:hint="eastAsia"/>
                <w:bCs/>
                <w:color w:val="000000"/>
                <w:sz w:val="18"/>
                <w:szCs w:val="18"/>
              </w:rPr>
              <w:t>8</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Pr>
                <w:rFonts w:ascii="宋体" w:eastAsia="宋体" w:cs="Arial" w:hint="eastAsia"/>
                <w:bCs/>
                <w:color w:val="000000"/>
                <w:sz w:val="18"/>
                <w:szCs w:val="18"/>
              </w:rPr>
              <w:t>7</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Pr>
                <w:rFonts w:ascii="宋体" w:eastAsia="宋体" w:cs="Arial" w:hint="eastAsia"/>
                <w:bCs/>
                <w:color w:val="000000"/>
                <w:sz w:val="18"/>
                <w:szCs w:val="18"/>
              </w:rPr>
              <w:t>8</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Pr>
                <w:rFonts w:ascii="宋体" w:eastAsia="宋体" w:cs="Arial" w:hint="eastAsia"/>
                <w:bCs/>
                <w:color w:val="000000"/>
                <w:sz w:val="18"/>
                <w:szCs w:val="18"/>
              </w:rPr>
              <w:t>7</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Pr>
                <w:rFonts w:ascii="宋体" w:eastAsia="宋体" w:cs="Arial" w:hint="eastAsia"/>
                <w:bCs/>
                <w:color w:val="000000"/>
                <w:sz w:val="18"/>
                <w:szCs w:val="18"/>
              </w:rPr>
              <w:t>8</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Pr>
                <w:rFonts w:ascii="宋体" w:eastAsia="宋体" w:cs="Arial" w:hint="eastAsia"/>
                <w:bCs/>
                <w:color w:val="000000"/>
                <w:sz w:val="18"/>
                <w:szCs w:val="18"/>
              </w:rPr>
              <w:t>7</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Pr>
                <w:rFonts w:ascii="宋体" w:eastAsia="宋体" w:cs="Arial" w:hint="eastAsia"/>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Pr>
                <w:rFonts w:ascii="宋体" w:eastAsia="宋体" w:cs="Arial" w:hint="eastAsia"/>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Pr>
                <w:rFonts w:ascii="宋体" w:eastAsia="宋体" w:cs="Arial" w:hint="eastAsia"/>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Pr>
                <w:rFonts w:ascii="宋体" w:eastAsia="宋体" w:cs="Arial" w:hint="eastAsia"/>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Pr>
                <w:rFonts w:ascii="宋体" w:eastAsia="宋体" w:cs="Arial" w:hint="eastAsia"/>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pPr>
              <w:jc w:val="center"/>
              <w:rPr>
                <w:rFonts w:ascii="宋体" w:eastAsia="宋体" w:cs="Arial"/>
                <w:bCs/>
                <w:color w:val="000000"/>
                <w:sz w:val="18"/>
                <w:szCs w:val="18"/>
              </w:rPr>
            </w:pPr>
            <w:r w:rsidRPr="005B0E79">
              <w:rPr>
                <w:rFonts w:ascii="宋体" w:eastAsia="宋体" w:cs="Arial"/>
                <w:bCs/>
                <w:color w:val="000000"/>
                <w:sz w:val="18"/>
                <w:szCs w:val="18"/>
              </w:rPr>
              <w:t>0</w:t>
            </w:r>
          </w:p>
        </w:tc>
      </w:tr>
      <w:tr w:rsidR="005B0E79" w:rsidRPr="000F222B" w:rsidTr="005B0E79">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rsidP="00F3189F">
            <w:pPr>
              <w:jc w:val="center"/>
              <w:rPr>
                <w:rFonts w:ascii="宋体" w:eastAsia="宋体" w:cs="Arial"/>
                <w:bCs/>
                <w:color w:val="000000"/>
                <w:sz w:val="18"/>
                <w:szCs w:val="18"/>
              </w:rPr>
            </w:pPr>
            <w:r w:rsidRPr="005B0E79">
              <w:rPr>
                <w:rFonts w:ascii="宋体" w:eastAsia="宋体" w:cs="Arial"/>
                <w:bCs/>
                <w:color w:val="000000"/>
                <w:sz w:val="18"/>
                <w:szCs w:val="18"/>
              </w:rPr>
              <w:t>赵钢德</w:t>
            </w:r>
          </w:p>
        </w:tc>
        <w:tc>
          <w:tcPr>
            <w:tcW w:w="79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rsidP="00F3189F">
            <w:pPr>
              <w:jc w:val="center"/>
              <w:rPr>
                <w:rFonts w:ascii="宋体" w:eastAsia="宋体" w:cs="Arial"/>
                <w:bCs/>
                <w:color w:val="000000"/>
                <w:sz w:val="18"/>
                <w:szCs w:val="18"/>
              </w:rPr>
            </w:pPr>
            <w:r w:rsidRPr="005B0E79">
              <w:rPr>
                <w:rFonts w:ascii="宋体" w:eastAsia="宋体" w:cs="Arial" w:hint="eastAsia"/>
                <w:bCs/>
                <w:color w:val="000000"/>
                <w:sz w:val="18"/>
                <w:szCs w:val="18"/>
              </w:rPr>
              <w:t>专职委员</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rsidP="00F3189F">
            <w:pPr>
              <w:jc w:val="center"/>
              <w:rPr>
                <w:rFonts w:ascii="宋体" w:eastAsia="宋体" w:cs="Arial"/>
                <w:bCs/>
                <w:color w:val="000000"/>
                <w:sz w:val="18"/>
                <w:szCs w:val="18"/>
              </w:rPr>
            </w:pPr>
            <w:r w:rsidRPr="005B0E79">
              <w:rPr>
                <w:rFonts w:ascii="宋体" w:eastAsia="宋体" w:cs="Arial"/>
                <w:bCs/>
                <w:color w:val="000000"/>
                <w:sz w:val="18"/>
                <w:szCs w:val="18"/>
              </w:rPr>
              <w:t>45</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rsidP="00F3189F">
            <w:pPr>
              <w:jc w:val="center"/>
              <w:rPr>
                <w:rFonts w:ascii="宋体" w:eastAsia="宋体" w:cs="Arial"/>
                <w:bCs/>
                <w:color w:val="000000"/>
                <w:sz w:val="18"/>
                <w:szCs w:val="18"/>
              </w:rPr>
            </w:pPr>
            <w:r w:rsidRPr="005B0E79">
              <w:rPr>
                <w:rFonts w:ascii="宋体" w:eastAsia="宋体" w:cs="Arial"/>
                <w:bCs/>
                <w:color w:val="000000"/>
                <w:sz w:val="18"/>
                <w:szCs w:val="18"/>
              </w:rPr>
              <w:t>29</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B0E79" w:rsidRPr="005B0E79" w:rsidRDefault="005B0E79" w:rsidP="00F3189F">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rsidP="00F3189F">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rsidP="00F3189F">
            <w:pPr>
              <w:jc w:val="center"/>
              <w:rPr>
                <w:rFonts w:ascii="宋体" w:eastAsia="宋体" w:cs="Arial"/>
                <w:bCs/>
                <w:color w:val="000000"/>
                <w:sz w:val="18"/>
                <w:szCs w:val="18"/>
              </w:rPr>
            </w:pPr>
            <w:r w:rsidRPr="005B0E79">
              <w:rPr>
                <w:rFonts w:ascii="宋体" w:eastAsia="宋体" w:cs="Arial"/>
                <w:bCs/>
                <w:color w:val="000000"/>
                <w:sz w:val="18"/>
                <w:szCs w:val="18"/>
              </w:rPr>
              <w:t>45</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rsidP="00F3189F">
            <w:pPr>
              <w:jc w:val="center"/>
              <w:rPr>
                <w:rFonts w:ascii="宋体" w:eastAsia="宋体" w:cs="Arial"/>
                <w:bCs/>
                <w:color w:val="000000"/>
                <w:sz w:val="18"/>
                <w:szCs w:val="18"/>
              </w:rPr>
            </w:pPr>
            <w:r w:rsidRPr="005B0E79">
              <w:rPr>
                <w:rFonts w:ascii="宋体" w:eastAsia="宋体" w:cs="Arial"/>
                <w:bCs/>
                <w:color w:val="000000"/>
                <w:sz w:val="18"/>
                <w:szCs w:val="18"/>
              </w:rPr>
              <w:t>29</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rsidP="00F3189F">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rsidP="00F3189F">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rsidP="00F3189F">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rsidP="00F3189F">
            <w:pPr>
              <w:jc w:val="center"/>
              <w:rPr>
                <w:rFonts w:ascii="宋体" w:eastAsia="宋体" w:cs="Arial"/>
                <w:bCs/>
                <w:color w:val="000000"/>
                <w:sz w:val="18"/>
                <w:szCs w:val="18"/>
              </w:rPr>
            </w:pPr>
            <w:r w:rsidRPr="005B0E79">
              <w:rPr>
                <w:rFonts w:ascii="宋体" w:eastAsia="宋体" w:cs="Arial"/>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rsidP="00F3189F">
            <w:pPr>
              <w:jc w:val="center"/>
              <w:rPr>
                <w:rFonts w:ascii="宋体" w:eastAsia="宋体" w:cs="Arial"/>
                <w:bCs/>
                <w:color w:val="000000"/>
                <w:sz w:val="18"/>
                <w:szCs w:val="18"/>
              </w:rPr>
            </w:pPr>
            <w:r w:rsidRPr="005B0E79">
              <w:rPr>
                <w:rFonts w:ascii="宋体" w:eastAsia="宋体" w:cs="Arial"/>
                <w:bCs/>
                <w:color w:val="000000"/>
                <w:sz w:val="18"/>
                <w:szCs w:val="18"/>
              </w:rPr>
              <w:t>41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rsidP="00F3189F">
            <w:pPr>
              <w:jc w:val="center"/>
              <w:rPr>
                <w:rFonts w:ascii="宋体" w:eastAsia="宋体" w:cs="Arial"/>
                <w:bCs/>
                <w:color w:val="000000"/>
                <w:sz w:val="18"/>
                <w:szCs w:val="18"/>
              </w:rPr>
            </w:pPr>
            <w:r w:rsidRPr="005B0E79">
              <w:rPr>
                <w:rFonts w:ascii="宋体" w:eastAsia="宋体" w:cs="Arial"/>
                <w:bCs/>
                <w:color w:val="000000"/>
                <w:sz w:val="18"/>
                <w:szCs w:val="18"/>
              </w:rPr>
              <w:t>27</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rsidP="00F3189F">
            <w:pPr>
              <w:jc w:val="center"/>
              <w:rPr>
                <w:rFonts w:ascii="宋体" w:eastAsia="宋体" w:cs="Arial"/>
                <w:bCs/>
                <w:color w:val="000000"/>
                <w:sz w:val="18"/>
                <w:szCs w:val="18"/>
              </w:rPr>
            </w:pPr>
            <w:r w:rsidRPr="005B0E79">
              <w:rPr>
                <w:rFonts w:ascii="宋体" w:eastAsia="宋体" w:cs="Arial"/>
                <w:bCs/>
                <w:color w:val="000000"/>
                <w:sz w:val="18"/>
                <w:szCs w:val="18"/>
              </w:rPr>
              <w:t>4</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rsidP="00F3189F">
            <w:pPr>
              <w:jc w:val="center"/>
              <w:rPr>
                <w:rFonts w:ascii="宋体" w:eastAsia="宋体" w:cs="Arial"/>
                <w:bCs/>
                <w:color w:val="000000"/>
                <w:sz w:val="18"/>
                <w:szCs w:val="18"/>
              </w:rPr>
            </w:pPr>
            <w:r w:rsidRPr="005B0E79">
              <w:rPr>
                <w:rFonts w:ascii="宋体" w:eastAsia="宋体" w:cs="Arial"/>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rsidP="00F3189F">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rsidP="00F3189F">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rsidP="00F3189F">
            <w:pPr>
              <w:jc w:val="center"/>
              <w:rPr>
                <w:rFonts w:ascii="宋体" w:eastAsia="宋体" w:cs="Arial"/>
                <w:bCs/>
                <w:color w:val="000000"/>
                <w:sz w:val="18"/>
                <w:szCs w:val="18"/>
              </w:rPr>
            </w:pPr>
            <w:r w:rsidRPr="005B0E79">
              <w:rPr>
                <w:rFonts w:ascii="宋体" w:eastAsia="宋体" w:cs="Arial"/>
                <w:bCs/>
                <w:color w:val="000000"/>
                <w:sz w:val="18"/>
                <w:szCs w:val="18"/>
              </w:rPr>
              <w:t>0</w:t>
            </w:r>
          </w:p>
        </w:tc>
        <w:tc>
          <w:tcPr>
            <w:tcW w:w="4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B0E79" w:rsidRPr="005B0E79" w:rsidRDefault="005B0E79" w:rsidP="00F3189F">
            <w:pPr>
              <w:jc w:val="center"/>
              <w:rPr>
                <w:rFonts w:ascii="宋体" w:eastAsia="宋体" w:cs="Arial"/>
                <w:bCs/>
                <w:color w:val="000000"/>
                <w:sz w:val="18"/>
                <w:szCs w:val="18"/>
              </w:rPr>
            </w:pPr>
            <w:r w:rsidRPr="005B0E79">
              <w:rPr>
                <w:rFonts w:ascii="宋体" w:eastAsia="宋体" w:cs="Arial"/>
                <w:bCs/>
                <w:color w:val="000000"/>
                <w:sz w:val="18"/>
                <w:szCs w:val="18"/>
              </w:rPr>
              <w:t>0</w:t>
            </w:r>
          </w:p>
        </w:tc>
      </w:tr>
      <w:tr w:rsidR="00FD1512" w:rsidRPr="000F222B" w:rsidTr="005B0E79">
        <w:trPr>
          <w:trHeight w:val="298"/>
          <w:jc w:val="center"/>
        </w:trPr>
        <w:tc>
          <w:tcPr>
            <w:tcW w:w="1560"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56062D" w:rsidRDefault="00FD1512">
            <w:pPr>
              <w:jc w:val="center"/>
              <w:rPr>
                <w:rFonts w:ascii="宋体" w:eastAsia="宋体" w:cs="Arial"/>
                <w:bCs/>
                <w:color w:val="000000"/>
                <w:sz w:val="18"/>
                <w:szCs w:val="18"/>
              </w:rPr>
            </w:pPr>
            <w:r w:rsidRPr="0056062D">
              <w:rPr>
                <w:rFonts w:ascii="宋体" w:eastAsia="宋体" w:cs="Arial"/>
                <w:bCs/>
                <w:color w:val="000000"/>
                <w:sz w:val="18"/>
                <w:szCs w:val="18"/>
              </w:rPr>
              <w:t>总</w:t>
            </w:r>
            <w:r w:rsidR="00B9510F">
              <w:rPr>
                <w:rFonts w:ascii="宋体" w:eastAsia="宋体" w:cs="Arial" w:hint="eastAsia"/>
                <w:bCs/>
                <w:color w:val="000000"/>
                <w:sz w:val="18"/>
                <w:szCs w:val="18"/>
              </w:rPr>
              <w:t xml:space="preserve">         </w:t>
            </w:r>
            <w:r w:rsidRPr="0056062D">
              <w:rPr>
                <w:rFonts w:ascii="宋体" w:eastAsia="宋体" w:cs="Arial"/>
                <w:bCs/>
                <w:color w:val="000000"/>
                <w:sz w:val="18"/>
                <w:szCs w:val="18"/>
              </w:rPr>
              <w:t>计</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56062D" w:rsidRDefault="00D50E95">
            <w:pPr>
              <w:jc w:val="center"/>
              <w:rPr>
                <w:rFonts w:ascii="宋体" w:eastAsia="宋体" w:cs="Arial"/>
                <w:bCs/>
                <w:color w:val="000000"/>
                <w:sz w:val="18"/>
                <w:szCs w:val="18"/>
              </w:rPr>
            </w:pPr>
            <w:r>
              <w:rPr>
                <w:rFonts w:ascii="宋体" w:eastAsia="宋体" w:cs="Arial"/>
                <w:bCs/>
                <w:color w:val="000000"/>
                <w:sz w:val="18"/>
                <w:szCs w:val="18"/>
              </w:rPr>
              <w:fldChar w:fldCharType="begin"/>
            </w:r>
            <w:r w:rsidR="005B0E79">
              <w:rPr>
                <w:rFonts w:ascii="宋体" w:eastAsia="宋体" w:cs="Arial"/>
                <w:bCs/>
                <w:color w:val="000000"/>
                <w:sz w:val="18"/>
                <w:szCs w:val="18"/>
              </w:rPr>
              <w:instrText xml:space="preserve"> =SUM(ABOVE) </w:instrText>
            </w:r>
            <w:r>
              <w:rPr>
                <w:rFonts w:ascii="宋体" w:eastAsia="宋体" w:cs="Arial"/>
                <w:bCs/>
                <w:color w:val="000000"/>
                <w:sz w:val="18"/>
                <w:szCs w:val="18"/>
              </w:rPr>
              <w:fldChar w:fldCharType="separate"/>
            </w:r>
            <w:r w:rsidR="005B0E79">
              <w:rPr>
                <w:rFonts w:ascii="宋体" w:eastAsia="宋体" w:cs="Arial"/>
                <w:bCs/>
                <w:noProof/>
                <w:color w:val="000000"/>
                <w:sz w:val="18"/>
                <w:szCs w:val="18"/>
              </w:rPr>
              <w:t>60</w:t>
            </w:r>
            <w:r>
              <w:rPr>
                <w:rFonts w:ascii="宋体" w:eastAsia="宋体" w:cs="Arial"/>
                <w:bCs/>
                <w:color w:val="000000"/>
                <w:sz w:val="18"/>
                <w:szCs w:val="18"/>
              </w:rPr>
              <w:fldChar w:fldCharType="end"/>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56062D" w:rsidRDefault="00D50E95">
            <w:pPr>
              <w:jc w:val="center"/>
              <w:rPr>
                <w:rFonts w:ascii="宋体" w:eastAsia="宋体" w:cs="Arial"/>
                <w:bCs/>
                <w:color w:val="000000"/>
                <w:sz w:val="18"/>
                <w:szCs w:val="18"/>
              </w:rPr>
            </w:pPr>
            <w:r>
              <w:rPr>
                <w:rFonts w:ascii="宋体" w:eastAsia="宋体" w:cs="Arial"/>
                <w:bCs/>
                <w:color w:val="000000"/>
                <w:sz w:val="18"/>
                <w:szCs w:val="18"/>
              </w:rPr>
              <w:fldChar w:fldCharType="begin"/>
            </w:r>
            <w:r w:rsidR="005B0E79">
              <w:rPr>
                <w:rFonts w:ascii="宋体" w:eastAsia="宋体" w:cs="Arial"/>
                <w:bCs/>
                <w:color w:val="000000"/>
                <w:sz w:val="18"/>
                <w:szCs w:val="18"/>
              </w:rPr>
              <w:instrText xml:space="preserve"> =SUM(ABOVE) </w:instrText>
            </w:r>
            <w:r>
              <w:rPr>
                <w:rFonts w:ascii="宋体" w:eastAsia="宋体" w:cs="Arial"/>
                <w:bCs/>
                <w:color w:val="000000"/>
                <w:sz w:val="18"/>
                <w:szCs w:val="18"/>
              </w:rPr>
              <w:fldChar w:fldCharType="separate"/>
            </w:r>
            <w:r w:rsidR="005B0E79">
              <w:rPr>
                <w:rFonts w:ascii="宋体" w:eastAsia="宋体" w:cs="Arial"/>
                <w:bCs/>
                <w:noProof/>
                <w:color w:val="000000"/>
                <w:sz w:val="18"/>
                <w:szCs w:val="18"/>
              </w:rPr>
              <w:t>68</w:t>
            </w:r>
            <w:r>
              <w:rPr>
                <w:rFonts w:ascii="宋体" w:eastAsia="宋体" w:cs="Arial"/>
                <w:bCs/>
                <w:color w:val="000000"/>
                <w:sz w:val="18"/>
                <w:szCs w:val="18"/>
              </w:rPr>
              <w:fldChar w:fldCharType="end"/>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D1512" w:rsidRPr="0056062D" w:rsidRDefault="00D50E95">
            <w:pPr>
              <w:jc w:val="center"/>
              <w:rPr>
                <w:rFonts w:ascii="宋体" w:eastAsia="宋体" w:cs="Arial"/>
                <w:bCs/>
                <w:color w:val="000000"/>
                <w:sz w:val="18"/>
                <w:szCs w:val="18"/>
              </w:rPr>
            </w:pPr>
            <w:r>
              <w:rPr>
                <w:rFonts w:ascii="宋体" w:eastAsia="宋体" w:cs="Arial"/>
                <w:bCs/>
                <w:color w:val="000000"/>
                <w:sz w:val="18"/>
                <w:szCs w:val="18"/>
              </w:rPr>
              <w:fldChar w:fldCharType="begin"/>
            </w:r>
            <w:r w:rsidR="00047AF6">
              <w:rPr>
                <w:rFonts w:ascii="宋体" w:eastAsia="宋体" w:cs="Arial"/>
                <w:bCs/>
                <w:color w:val="000000"/>
                <w:sz w:val="18"/>
                <w:szCs w:val="18"/>
              </w:rPr>
              <w:instrText xml:space="preserve"> =SUM(ABOVE) </w:instrText>
            </w:r>
            <w:r>
              <w:rPr>
                <w:rFonts w:ascii="宋体" w:eastAsia="宋体" w:cs="Arial"/>
                <w:bCs/>
                <w:color w:val="000000"/>
                <w:sz w:val="18"/>
                <w:szCs w:val="18"/>
              </w:rPr>
              <w:fldChar w:fldCharType="separate"/>
            </w:r>
            <w:r w:rsidR="00047AF6">
              <w:rPr>
                <w:rFonts w:ascii="宋体" w:eastAsia="宋体" w:cs="Arial"/>
                <w:bCs/>
                <w:noProof/>
                <w:color w:val="000000"/>
                <w:sz w:val="18"/>
                <w:szCs w:val="18"/>
              </w:rPr>
              <w:t>0</w:t>
            </w:r>
            <w:r>
              <w:rPr>
                <w:rFonts w:ascii="宋体" w:eastAsia="宋体" w:cs="Arial"/>
                <w:bCs/>
                <w:color w:val="000000"/>
                <w:sz w:val="18"/>
                <w:szCs w:val="18"/>
              </w:rPr>
              <w:fldChar w:fldCharType="end"/>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56062D" w:rsidRDefault="00FD1512">
            <w:pPr>
              <w:jc w:val="center"/>
              <w:rPr>
                <w:rFonts w:ascii="宋体" w:eastAsia="宋体" w:cs="Arial"/>
                <w:bCs/>
                <w:color w:val="000000"/>
                <w:sz w:val="18"/>
                <w:szCs w:val="18"/>
              </w:rPr>
            </w:pPr>
            <w:r w:rsidRPr="0056062D">
              <w:rPr>
                <w:rFonts w:ascii="宋体" w:eastAsia="宋体"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56062D" w:rsidRDefault="00D50E95">
            <w:pPr>
              <w:jc w:val="center"/>
              <w:rPr>
                <w:rFonts w:ascii="宋体" w:eastAsia="宋体" w:cs="Arial"/>
                <w:bCs/>
                <w:color w:val="000000"/>
                <w:sz w:val="18"/>
                <w:szCs w:val="18"/>
              </w:rPr>
            </w:pPr>
            <w:r>
              <w:rPr>
                <w:rFonts w:ascii="宋体" w:eastAsia="宋体" w:cs="Arial"/>
                <w:bCs/>
                <w:color w:val="000000"/>
                <w:sz w:val="18"/>
                <w:szCs w:val="18"/>
              </w:rPr>
              <w:fldChar w:fldCharType="begin"/>
            </w:r>
            <w:r w:rsidR="005B0E79">
              <w:rPr>
                <w:rFonts w:ascii="宋体" w:eastAsia="宋体" w:cs="Arial"/>
                <w:bCs/>
                <w:color w:val="000000"/>
                <w:sz w:val="18"/>
                <w:szCs w:val="18"/>
              </w:rPr>
              <w:instrText xml:space="preserve"> =SUM(ABOVE) </w:instrText>
            </w:r>
            <w:r>
              <w:rPr>
                <w:rFonts w:ascii="宋体" w:eastAsia="宋体" w:cs="Arial"/>
                <w:bCs/>
                <w:color w:val="000000"/>
                <w:sz w:val="18"/>
                <w:szCs w:val="18"/>
              </w:rPr>
              <w:fldChar w:fldCharType="separate"/>
            </w:r>
            <w:r w:rsidR="005B0E79">
              <w:rPr>
                <w:rFonts w:ascii="宋体" w:eastAsia="宋体" w:cs="Arial"/>
                <w:bCs/>
                <w:noProof/>
                <w:color w:val="000000"/>
                <w:sz w:val="18"/>
                <w:szCs w:val="18"/>
              </w:rPr>
              <w:t>60</w:t>
            </w:r>
            <w:r>
              <w:rPr>
                <w:rFonts w:ascii="宋体" w:eastAsia="宋体" w:cs="Arial"/>
                <w:bCs/>
                <w:color w:val="000000"/>
                <w:sz w:val="18"/>
                <w:szCs w:val="18"/>
              </w:rPr>
              <w:fldChar w:fldCharType="end"/>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56062D" w:rsidRDefault="00D50E95">
            <w:pPr>
              <w:jc w:val="center"/>
              <w:rPr>
                <w:rFonts w:ascii="宋体" w:eastAsia="宋体" w:cs="Arial"/>
                <w:bCs/>
                <w:color w:val="000000"/>
                <w:sz w:val="18"/>
                <w:szCs w:val="18"/>
              </w:rPr>
            </w:pPr>
            <w:r>
              <w:rPr>
                <w:rFonts w:ascii="宋体" w:eastAsia="宋体" w:cs="Arial"/>
                <w:bCs/>
                <w:color w:val="000000"/>
                <w:sz w:val="18"/>
                <w:szCs w:val="18"/>
              </w:rPr>
              <w:fldChar w:fldCharType="begin"/>
            </w:r>
            <w:r w:rsidR="005B0E79">
              <w:rPr>
                <w:rFonts w:ascii="宋体" w:eastAsia="宋体" w:cs="Arial"/>
                <w:bCs/>
                <w:color w:val="000000"/>
                <w:sz w:val="18"/>
                <w:szCs w:val="18"/>
              </w:rPr>
              <w:instrText xml:space="preserve"> =SUM(ABOVE) </w:instrText>
            </w:r>
            <w:r>
              <w:rPr>
                <w:rFonts w:ascii="宋体" w:eastAsia="宋体" w:cs="Arial"/>
                <w:bCs/>
                <w:color w:val="000000"/>
                <w:sz w:val="18"/>
                <w:szCs w:val="18"/>
              </w:rPr>
              <w:fldChar w:fldCharType="separate"/>
            </w:r>
            <w:r w:rsidR="005B0E79">
              <w:rPr>
                <w:rFonts w:ascii="宋体" w:eastAsia="宋体" w:cs="Arial"/>
                <w:bCs/>
                <w:noProof/>
                <w:color w:val="000000"/>
                <w:sz w:val="18"/>
                <w:szCs w:val="18"/>
              </w:rPr>
              <w:t>68</w:t>
            </w:r>
            <w:r>
              <w:rPr>
                <w:rFonts w:ascii="宋体" w:eastAsia="宋体" w:cs="Arial"/>
                <w:bCs/>
                <w:color w:val="000000"/>
                <w:sz w:val="18"/>
                <w:szCs w:val="18"/>
              </w:rPr>
              <w:fldChar w:fldCharType="end"/>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56062D" w:rsidRDefault="00D50E95">
            <w:pPr>
              <w:jc w:val="center"/>
              <w:rPr>
                <w:rFonts w:ascii="宋体" w:eastAsia="宋体" w:cs="Arial"/>
                <w:bCs/>
                <w:color w:val="000000"/>
                <w:sz w:val="18"/>
                <w:szCs w:val="18"/>
              </w:rPr>
            </w:pPr>
            <w:r>
              <w:rPr>
                <w:rFonts w:ascii="宋体" w:eastAsia="宋体" w:cs="Arial"/>
                <w:bCs/>
                <w:color w:val="000000"/>
                <w:sz w:val="18"/>
                <w:szCs w:val="18"/>
              </w:rPr>
              <w:fldChar w:fldCharType="begin"/>
            </w:r>
            <w:r w:rsidR="005B0E79">
              <w:rPr>
                <w:rFonts w:ascii="宋体" w:eastAsia="宋体" w:cs="Arial"/>
                <w:bCs/>
                <w:color w:val="000000"/>
                <w:sz w:val="18"/>
                <w:szCs w:val="18"/>
              </w:rPr>
              <w:instrText xml:space="preserve"> =SUM(ABOVE) </w:instrText>
            </w:r>
            <w:r>
              <w:rPr>
                <w:rFonts w:ascii="宋体" w:eastAsia="宋体" w:cs="Arial"/>
                <w:bCs/>
                <w:color w:val="000000"/>
                <w:sz w:val="18"/>
                <w:szCs w:val="18"/>
              </w:rPr>
              <w:fldChar w:fldCharType="separate"/>
            </w:r>
            <w:r w:rsidR="005B0E79">
              <w:rPr>
                <w:rFonts w:ascii="宋体" w:eastAsia="宋体" w:cs="Arial"/>
                <w:bCs/>
                <w:noProof/>
                <w:color w:val="000000"/>
                <w:sz w:val="18"/>
                <w:szCs w:val="18"/>
              </w:rPr>
              <w:t>10</w:t>
            </w:r>
            <w:r>
              <w:rPr>
                <w:rFonts w:ascii="宋体" w:eastAsia="宋体" w:cs="Arial"/>
                <w:bCs/>
                <w:color w:val="000000"/>
                <w:sz w:val="18"/>
                <w:szCs w:val="18"/>
              </w:rPr>
              <w:fldChar w:fldCharType="end"/>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56062D" w:rsidRDefault="00D50E95">
            <w:pPr>
              <w:jc w:val="center"/>
              <w:rPr>
                <w:rFonts w:ascii="宋体" w:eastAsia="宋体" w:cs="Arial"/>
                <w:bCs/>
                <w:color w:val="000000"/>
                <w:sz w:val="18"/>
                <w:szCs w:val="18"/>
              </w:rPr>
            </w:pPr>
            <w:r>
              <w:rPr>
                <w:rFonts w:ascii="宋体" w:eastAsia="宋体" w:cs="Arial"/>
                <w:bCs/>
                <w:color w:val="000000"/>
                <w:sz w:val="18"/>
                <w:szCs w:val="18"/>
              </w:rPr>
              <w:fldChar w:fldCharType="begin"/>
            </w:r>
            <w:r w:rsidR="005B0E79">
              <w:rPr>
                <w:rFonts w:ascii="宋体" w:eastAsia="宋体" w:cs="Arial"/>
                <w:bCs/>
                <w:color w:val="000000"/>
                <w:sz w:val="18"/>
                <w:szCs w:val="18"/>
              </w:rPr>
              <w:instrText xml:space="preserve"> =SUM(ABOVE) </w:instrText>
            </w:r>
            <w:r>
              <w:rPr>
                <w:rFonts w:ascii="宋体" w:eastAsia="宋体" w:cs="Arial"/>
                <w:bCs/>
                <w:color w:val="000000"/>
                <w:sz w:val="18"/>
                <w:szCs w:val="18"/>
              </w:rPr>
              <w:fldChar w:fldCharType="separate"/>
            </w:r>
            <w:r w:rsidR="005B0E79">
              <w:rPr>
                <w:rFonts w:ascii="宋体" w:eastAsia="宋体" w:cs="Arial"/>
                <w:bCs/>
                <w:noProof/>
                <w:color w:val="000000"/>
                <w:sz w:val="18"/>
                <w:szCs w:val="18"/>
              </w:rPr>
              <w:t>9</w:t>
            </w:r>
            <w:r>
              <w:rPr>
                <w:rFonts w:ascii="宋体" w:eastAsia="宋体" w:cs="Arial"/>
                <w:bCs/>
                <w:color w:val="000000"/>
                <w:sz w:val="18"/>
                <w:szCs w:val="18"/>
              </w:rPr>
              <w:fldChar w:fldCharType="end"/>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56062D" w:rsidRDefault="00D50E95">
            <w:pPr>
              <w:jc w:val="center"/>
              <w:rPr>
                <w:rFonts w:ascii="宋体" w:eastAsia="宋体" w:cs="Arial"/>
                <w:bCs/>
                <w:color w:val="000000"/>
                <w:sz w:val="18"/>
                <w:szCs w:val="18"/>
              </w:rPr>
            </w:pPr>
            <w:r>
              <w:rPr>
                <w:rFonts w:ascii="宋体" w:eastAsia="宋体" w:cs="Arial"/>
                <w:bCs/>
                <w:color w:val="000000"/>
                <w:sz w:val="18"/>
                <w:szCs w:val="18"/>
              </w:rPr>
              <w:fldChar w:fldCharType="begin"/>
            </w:r>
            <w:r w:rsidR="005B0E79">
              <w:rPr>
                <w:rFonts w:ascii="宋体" w:eastAsia="宋体" w:cs="Arial"/>
                <w:bCs/>
                <w:color w:val="000000"/>
                <w:sz w:val="18"/>
                <w:szCs w:val="18"/>
              </w:rPr>
              <w:instrText xml:space="preserve"> =SUM(ABOVE) </w:instrText>
            </w:r>
            <w:r>
              <w:rPr>
                <w:rFonts w:ascii="宋体" w:eastAsia="宋体" w:cs="Arial"/>
                <w:bCs/>
                <w:color w:val="000000"/>
                <w:sz w:val="18"/>
                <w:szCs w:val="18"/>
              </w:rPr>
              <w:fldChar w:fldCharType="separate"/>
            </w:r>
            <w:r w:rsidR="005B0E79">
              <w:rPr>
                <w:rFonts w:ascii="宋体" w:eastAsia="宋体" w:cs="Arial"/>
                <w:bCs/>
                <w:noProof/>
                <w:color w:val="000000"/>
                <w:sz w:val="18"/>
                <w:szCs w:val="18"/>
              </w:rPr>
              <w:t>4</w:t>
            </w:r>
            <w:r>
              <w:rPr>
                <w:rFonts w:ascii="宋体" w:eastAsia="宋体" w:cs="Arial"/>
                <w:bCs/>
                <w:color w:val="000000"/>
                <w:sz w:val="18"/>
                <w:szCs w:val="18"/>
              </w:rPr>
              <w:fldChar w:fldCharType="end"/>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56062D" w:rsidRDefault="00D50E95">
            <w:pPr>
              <w:jc w:val="center"/>
              <w:rPr>
                <w:rFonts w:ascii="宋体" w:eastAsia="宋体" w:cs="Arial"/>
                <w:bCs/>
                <w:color w:val="000000"/>
                <w:sz w:val="18"/>
                <w:szCs w:val="18"/>
              </w:rPr>
            </w:pPr>
            <w:r>
              <w:rPr>
                <w:rFonts w:ascii="宋体" w:eastAsia="宋体" w:cs="Arial"/>
                <w:bCs/>
                <w:color w:val="000000"/>
                <w:sz w:val="18"/>
                <w:szCs w:val="18"/>
              </w:rPr>
              <w:fldChar w:fldCharType="begin"/>
            </w:r>
            <w:r w:rsidR="005B0E79">
              <w:rPr>
                <w:rFonts w:ascii="宋体" w:eastAsia="宋体" w:cs="Arial"/>
                <w:bCs/>
                <w:color w:val="000000"/>
                <w:sz w:val="18"/>
                <w:szCs w:val="18"/>
              </w:rPr>
              <w:instrText xml:space="preserve"> =SUM(ABOVE) </w:instrText>
            </w:r>
            <w:r>
              <w:rPr>
                <w:rFonts w:ascii="宋体" w:eastAsia="宋体" w:cs="Arial"/>
                <w:bCs/>
                <w:color w:val="000000"/>
                <w:sz w:val="18"/>
                <w:szCs w:val="18"/>
              </w:rPr>
              <w:fldChar w:fldCharType="separate"/>
            </w:r>
            <w:r w:rsidR="005B0E79">
              <w:rPr>
                <w:rFonts w:ascii="宋体" w:eastAsia="宋体" w:cs="Arial"/>
                <w:bCs/>
                <w:noProof/>
                <w:color w:val="000000"/>
                <w:sz w:val="18"/>
                <w:szCs w:val="18"/>
              </w:rPr>
              <w:t>30</w:t>
            </w:r>
            <w:r>
              <w:rPr>
                <w:rFonts w:ascii="宋体" w:eastAsia="宋体" w:cs="Arial"/>
                <w:bCs/>
                <w:color w:val="000000"/>
                <w:sz w:val="18"/>
                <w:szCs w:val="18"/>
              </w:rPr>
              <w:fldChar w:fldCharType="end"/>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56062D" w:rsidRDefault="00D50E95">
            <w:pPr>
              <w:jc w:val="center"/>
              <w:rPr>
                <w:rFonts w:ascii="宋体" w:eastAsia="宋体" w:cs="Arial"/>
                <w:bCs/>
                <w:color w:val="000000"/>
                <w:sz w:val="18"/>
                <w:szCs w:val="18"/>
              </w:rPr>
            </w:pPr>
            <w:r>
              <w:rPr>
                <w:rFonts w:ascii="宋体" w:eastAsia="宋体" w:cs="Arial"/>
                <w:bCs/>
                <w:color w:val="000000"/>
                <w:sz w:val="18"/>
                <w:szCs w:val="18"/>
              </w:rPr>
              <w:fldChar w:fldCharType="begin"/>
            </w:r>
            <w:r w:rsidR="005B0E79">
              <w:rPr>
                <w:rFonts w:ascii="宋体" w:eastAsia="宋体" w:cs="Arial"/>
                <w:bCs/>
                <w:color w:val="000000"/>
                <w:sz w:val="18"/>
                <w:szCs w:val="18"/>
              </w:rPr>
              <w:instrText xml:space="preserve"> =SUM(ABOVE) </w:instrText>
            </w:r>
            <w:r>
              <w:rPr>
                <w:rFonts w:ascii="宋体" w:eastAsia="宋体" w:cs="Arial"/>
                <w:bCs/>
                <w:color w:val="000000"/>
                <w:sz w:val="18"/>
                <w:szCs w:val="18"/>
              </w:rPr>
              <w:fldChar w:fldCharType="separate"/>
            </w:r>
            <w:r w:rsidR="005B0E79">
              <w:rPr>
                <w:rFonts w:ascii="宋体" w:eastAsia="宋体" w:cs="Arial"/>
                <w:bCs/>
                <w:noProof/>
                <w:color w:val="000000"/>
                <w:sz w:val="18"/>
                <w:szCs w:val="18"/>
              </w:rPr>
              <w:t>41</w:t>
            </w:r>
            <w:r>
              <w:rPr>
                <w:rFonts w:ascii="宋体" w:eastAsia="宋体" w:cs="Arial"/>
                <w:bCs/>
                <w:color w:val="000000"/>
                <w:sz w:val="18"/>
                <w:szCs w:val="18"/>
              </w:rPr>
              <w:fldChar w:fldCharType="end"/>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56062D" w:rsidRDefault="00D50E95">
            <w:pPr>
              <w:jc w:val="center"/>
              <w:rPr>
                <w:rFonts w:ascii="宋体" w:eastAsia="宋体" w:cs="Arial"/>
                <w:bCs/>
                <w:color w:val="000000"/>
                <w:sz w:val="18"/>
                <w:szCs w:val="18"/>
              </w:rPr>
            </w:pPr>
            <w:r>
              <w:rPr>
                <w:rFonts w:ascii="宋体" w:eastAsia="宋体" w:cs="Arial"/>
                <w:bCs/>
                <w:color w:val="000000"/>
                <w:sz w:val="18"/>
                <w:szCs w:val="18"/>
              </w:rPr>
              <w:fldChar w:fldCharType="begin"/>
            </w:r>
            <w:r w:rsidR="005B0E79">
              <w:rPr>
                <w:rFonts w:ascii="宋体" w:eastAsia="宋体" w:cs="Arial"/>
                <w:bCs/>
                <w:color w:val="000000"/>
                <w:sz w:val="18"/>
                <w:szCs w:val="18"/>
              </w:rPr>
              <w:instrText xml:space="preserve"> =SUM(ABOVE) </w:instrText>
            </w:r>
            <w:r>
              <w:rPr>
                <w:rFonts w:ascii="宋体" w:eastAsia="宋体" w:cs="Arial"/>
                <w:bCs/>
                <w:color w:val="000000"/>
                <w:sz w:val="18"/>
                <w:szCs w:val="18"/>
              </w:rPr>
              <w:fldChar w:fldCharType="separate"/>
            </w:r>
            <w:r w:rsidR="005B0E79">
              <w:rPr>
                <w:rFonts w:ascii="宋体" w:eastAsia="宋体" w:cs="Arial"/>
                <w:bCs/>
                <w:noProof/>
                <w:color w:val="000000"/>
                <w:sz w:val="18"/>
                <w:szCs w:val="18"/>
              </w:rPr>
              <w:t>27</w:t>
            </w:r>
            <w:r>
              <w:rPr>
                <w:rFonts w:ascii="宋体" w:eastAsia="宋体" w:cs="Arial"/>
                <w:bCs/>
                <w:color w:val="000000"/>
                <w:sz w:val="18"/>
                <w:szCs w:val="18"/>
              </w:rPr>
              <w:fldChar w:fldCharType="end"/>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56062D" w:rsidRDefault="00D50E95">
            <w:pPr>
              <w:jc w:val="center"/>
              <w:rPr>
                <w:rFonts w:ascii="宋体" w:eastAsia="宋体" w:cs="Arial"/>
                <w:bCs/>
                <w:color w:val="000000"/>
                <w:sz w:val="18"/>
                <w:szCs w:val="18"/>
              </w:rPr>
            </w:pPr>
            <w:r>
              <w:rPr>
                <w:rFonts w:ascii="宋体" w:eastAsia="宋体" w:cs="Arial"/>
                <w:bCs/>
                <w:color w:val="000000"/>
                <w:sz w:val="18"/>
                <w:szCs w:val="18"/>
              </w:rPr>
              <w:fldChar w:fldCharType="begin"/>
            </w:r>
            <w:r w:rsidR="005B0E79">
              <w:rPr>
                <w:rFonts w:ascii="宋体" w:eastAsia="宋体" w:cs="Arial"/>
                <w:bCs/>
                <w:color w:val="000000"/>
                <w:sz w:val="18"/>
                <w:szCs w:val="18"/>
              </w:rPr>
              <w:instrText xml:space="preserve"> =SUM(ABOVE) </w:instrText>
            </w:r>
            <w:r>
              <w:rPr>
                <w:rFonts w:ascii="宋体" w:eastAsia="宋体" w:cs="Arial"/>
                <w:bCs/>
                <w:color w:val="000000"/>
                <w:sz w:val="18"/>
                <w:szCs w:val="18"/>
              </w:rPr>
              <w:fldChar w:fldCharType="separate"/>
            </w:r>
            <w:r w:rsidR="005B0E79">
              <w:rPr>
                <w:rFonts w:ascii="宋体" w:eastAsia="宋体" w:cs="Arial"/>
                <w:bCs/>
                <w:noProof/>
                <w:color w:val="000000"/>
                <w:sz w:val="18"/>
                <w:szCs w:val="18"/>
              </w:rPr>
              <w:t>5</w:t>
            </w:r>
            <w:r>
              <w:rPr>
                <w:rFonts w:ascii="宋体" w:eastAsia="宋体" w:cs="Arial"/>
                <w:bCs/>
                <w:color w:val="000000"/>
                <w:sz w:val="18"/>
                <w:szCs w:val="18"/>
              </w:rPr>
              <w:fldChar w:fldCharType="end"/>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56062D" w:rsidRDefault="00D50E95">
            <w:pPr>
              <w:jc w:val="center"/>
              <w:rPr>
                <w:rFonts w:ascii="宋体" w:eastAsia="宋体" w:cs="Arial"/>
                <w:bCs/>
                <w:color w:val="000000"/>
                <w:sz w:val="18"/>
                <w:szCs w:val="18"/>
              </w:rPr>
            </w:pPr>
            <w:r>
              <w:rPr>
                <w:rFonts w:ascii="宋体" w:eastAsia="宋体" w:cs="Arial"/>
                <w:bCs/>
                <w:color w:val="000000"/>
                <w:sz w:val="18"/>
                <w:szCs w:val="18"/>
              </w:rPr>
              <w:fldChar w:fldCharType="begin"/>
            </w:r>
            <w:r w:rsidR="005B0E79">
              <w:rPr>
                <w:rFonts w:ascii="宋体" w:eastAsia="宋体" w:cs="Arial"/>
                <w:bCs/>
                <w:color w:val="000000"/>
                <w:sz w:val="18"/>
                <w:szCs w:val="18"/>
              </w:rPr>
              <w:instrText xml:space="preserve"> =SUM(ABOVE) </w:instrText>
            </w:r>
            <w:r>
              <w:rPr>
                <w:rFonts w:ascii="宋体" w:eastAsia="宋体" w:cs="Arial"/>
                <w:bCs/>
                <w:color w:val="000000"/>
                <w:sz w:val="18"/>
                <w:szCs w:val="18"/>
              </w:rPr>
              <w:fldChar w:fldCharType="separate"/>
            </w:r>
            <w:r w:rsidR="005B0E79">
              <w:rPr>
                <w:rFonts w:ascii="宋体" w:eastAsia="宋体" w:cs="Arial"/>
                <w:bCs/>
                <w:noProof/>
                <w:color w:val="000000"/>
                <w:sz w:val="18"/>
                <w:szCs w:val="18"/>
              </w:rPr>
              <w:t>2</w:t>
            </w:r>
            <w:r>
              <w:rPr>
                <w:rFonts w:ascii="宋体" w:eastAsia="宋体" w:cs="Arial"/>
                <w:bCs/>
                <w:color w:val="000000"/>
                <w:sz w:val="18"/>
                <w:szCs w:val="18"/>
              </w:rPr>
              <w:fldChar w:fldCharType="end"/>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56062D" w:rsidRDefault="00D50E95">
            <w:pPr>
              <w:jc w:val="center"/>
              <w:rPr>
                <w:rFonts w:ascii="宋体" w:eastAsia="宋体" w:cs="Arial"/>
                <w:bCs/>
                <w:color w:val="000000"/>
                <w:sz w:val="18"/>
                <w:szCs w:val="18"/>
              </w:rPr>
            </w:pPr>
            <w:r>
              <w:rPr>
                <w:rFonts w:ascii="宋体" w:eastAsia="宋体" w:cs="Arial"/>
                <w:bCs/>
                <w:color w:val="000000"/>
                <w:sz w:val="18"/>
                <w:szCs w:val="18"/>
              </w:rPr>
              <w:fldChar w:fldCharType="begin"/>
            </w:r>
            <w:r w:rsidR="00CE6710">
              <w:rPr>
                <w:rFonts w:ascii="宋体" w:eastAsia="宋体" w:cs="Arial"/>
                <w:bCs/>
                <w:color w:val="000000"/>
                <w:sz w:val="18"/>
                <w:szCs w:val="18"/>
              </w:rPr>
              <w:instrText xml:space="preserve"> =SUM(ABOVE) </w:instrText>
            </w:r>
            <w:r>
              <w:rPr>
                <w:rFonts w:ascii="宋体" w:eastAsia="宋体" w:cs="Arial"/>
                <w:bCs/>
                <w:color w:val="000000"/>
                <w:sz w:val="18"/>
                <w:szCs w:val="18"/>
              </w:rPr>
              <w:fldChar w:fldCharType="separate"/>
            </w:r>
            <w:r w:rsidR="00CE6710">
              <w:rPr>
                <w:rFonts w:ascii="宋体" w:eastAsia="宋体" w:cs="Arial"/>
                <w:bCs/>
                <w:noProof/>
                <w:color w:val="000000"/>
                <w:sz w:val="18"/>
                <w:szCs w:val="18"/>
              </w:rPr>
              <w:t>0</w:t>
            </w:r>
            <w:r>
              <w:rPr>
                <w:rFonts w:ascii="宋体" w:eastAsia="宋体" w:cs="Arial"/>
                <w:bCs/>
                <w:color w:val="000000"/>
                <w:sz w:val="18"/>
                <w:szCs w:val="18"/>
              </w:rPr>
              <w:fldChar w:fldCharType="end"/>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56062D" w:rsidRDefault="00D50E95">
            <w:pPr>
              <w:jc w:val="center"/>
              <w:rPr>
                <w:rFonts w:ascii="宋体" w:eastAsia="宋体" w:cs="Arial"/>
                <w:bCs/>
                <w:color w:val="000000"/>
                <w:sz w:val="18"/>
                <w:szCs w:val="18"/>
              </w:rPr>
            </w:pPr>
            <w:r>
              <w:rPr>
                <w:rFonts w:ascii="宋体" w:eastAsia="宋体" w:cs="Arial"/>
                <w:bCs/>
                <w:color w:val="000000"/>
                <w:sz w:val="18"/>
                <w:szCs w:val="18"/>
              </w:rPr>
              <w:fldChar w:fldCharType="begin"/>
            </w:r>
            <w:r w:rsidR="00CE6710">
              <w:rPr>
                <w:rFonts w:ascii="宋体" w:eastAsia="宋体" w:cs="Arial"/>
                <w:bCs/>
                <w:color w:val="000000"/>
                <w:sz w:val="18"/>
                <w:szCs w:val="18"/>
              </w:rPr>
              <w:instrText xml:space="preserve"> =SUM(ABOVE) </w:instrText>
            </w:r>
            <w:r>
              <w:rPr>
                <w:rFonts w:ascii="宋体" w:eastAsia="宋体" w:cs="Arial"/>
                <w:bCs/>
                <w:color w:val="000000"/>
                <w:sz w:val="18"/>
                <w:szCs w:val="18"/>
              </w:rPr>
              <w:fldChar w:fldCharType="separate"/>
            </w:r>
            <w:r w:rsidR="00CE6710">
              <w:rPr>
                <w:rFonts w:ascii="宋体" w:eastAsia="宋体" w:cs="Arial"/>
                <w:bCs/>
                <w:noProof/>
                <w:color w:val="000000"/>
                <w:sz w:val="18"/>
                <w:szCs w:val="18"/>
              </w:rPr>
              <w:t>0</w:t>
            </w:r>
            <w:r>
              <w:rPr>
                <w:rFonts w:ascii="宋体" w:eastAsia="宋体" w:cs="Arial"/>
                <w:bCs/>
                <w:color w:val="000000"/>
                <w:sz w:val="18"/>
                <w:szCs w:val="18"/>
              </w:rPr>
              <w:fldChar w:fldCharType="end"/>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56062D" w:rsidRDefault="00FD1512">
            <w:pPr>
              <w:jc w:val="center"/>
              <w:rPr>
                <w:rFonts w:ascii="宋体" w:eastAsia="宋体" w:cs="Arial"/>
                <w:bCs/>
                <w:color w:val="000000"/>
                <w:sz w:val="18"/>
                <w:szCs w:val="18"/>
              </w:rPr>
            </w:pPr>
            <w:r w:rsidRPr="0056062D">
              <w:rPr>
                <w:rFonts w:ascii="宋体" w:eastAsia="宋体" w:cs="Arial"/>
                <w:bCs/>
                <w:color w:val="000000"/>
                <w:sz w:val="18"/>
                <w:szCs w:val="18"/>
              </w:rPr>
              <w:t>0</w:t>
            </w:r>
          </w:p>
        </w:tc>
        <w:tc>
          <w:tcPr>
            <w:tcW w:w="4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56062D" w:rsidRDefault="00FD1512">
            <w:pPr>
              <w:jc w:val="center"/>
              <w:rPr>
                <w:rFonts w:ascii="宋体" w:eastAsia="宋体" w:cs="Arial"/>
                <w:bCs/>
                <w:color w:val="000000"/>
                <w:sz w:val="18"/>
                <w:szCs w:val="18"/>
              </w:rPr>
            </w:pPr>
            <w:r w:rsidRPr="0056062D">
              <w:rPr>
                <w:rFonts w:ascii="宋体" w:eastAsia="宋体" w:cs="Arial"/>
                <w:bCs/>
                <w:color w:val="000000"/>
                <w:sz w:val="18"/>
                <w:szCs w:val="18"/>
              </w:rPr>
              <w:t>0</w:t>
            </w:r>
          </w:p>
        </w:tc>
      </w:tr>
      <w:tr w:rsidR="00FD1512" w:rsidTr="005B0E79">
        <w:trPr>
          <w:jc w:val="center"/>
        </w:trPr>
        <w:tc>
          <w:tcPr>
            <w:tcW w:w="1560" w:type="dxa"/>
            <w:gridSpan w:val="2"/>
            <w:tcBorders>
              <w:top w:val="single" w:sz="4" w:space="0" w:color="auto"/>
              <w:left w:val="single" w:sz="4" w:space="0" w:color="auto"/>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Default="00FD1512" w:rsidP="00100381">
            <w:pPr>
              <w:jc w:val="center"/>
              <w:rPr>
                <w:rFonts w:ascii="Arial" w:hAnsi="Arial" w:cs="Arial"/>
                <w:color w:val="000000"/>
                <w:sz w:val="18"/>
                <w:szCs w:val="18"/>
              </w:rPr>
            </w:pPr>
          </w:p>
        </w:tc>
        <w:tc>
          <w:tcPr>
            <w:tcW w:w="402" w:type="dxa"/>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Default="00FD1512" w:rsidP="00100381">
            <w:pPr>
              <w:jc w:val="center"/>
              <w:rPr>
                <w:rFonts w:ascii="Arial" w:hAnsi="Arial" w:cs="Arial"/>
                <w:color w:val="000000"/>
                <w:sz w:val="18"/>
                <w:szCs w:val="18"/>
              </w:rPr>
            </w:pPr>
          </w:p>
        </w:tc>
        <w:tc>
          <w:tcPr>
            <w:tcW w:w="46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Default="00FD1512" w:rsidP="00100381">
            <w:pPr>
              <w:jc w:val="center"/>
              <w:rPr>
                <w:rFonts w:ascii="Arial" w:hAnsi="Arial" w:cs="Arial"/>
                <w:color w:val="000000"/>
                <w:sz w:val="18"/>
                <w:szCs w:val="18"/>
              </w:rPr>
            </w:pPr>
          </w:p>
        </w:tc>
        <w:tc>
          <w:tcPr>
            <w:tcW w:w="440" w:type="dxa"/>
            <w:gridSpan w:val="2"/>
            <w:tcBorders>
              <w:top w:val="single" w:sz="4" w:space="0" w:color="auto"/>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FD1512" w:rsidRDefault="00FD1512" w:rsidP="00100381">
            <w:pPr>
              <w:jc w:val="center"/>
              <w:rPr>
                <w:rFonts w:ascii="Arial" w:hAnsi="Arial" w:cs="Arial"/>
                <w:color w:val="000000"/>
                <w:sz w:val="18"/>
                <w:szCs w:val="18"/>
              </w:rPr>
            </w:pPr>
          </w:p>
        </w:tc>
        <w:tc>
          <w:tcPr>
            <w:tcW w:w="46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Default="00FD1512" w:rsidP="00100381">
            <w:pPr>
              <w:jc w:val="center"/>
              <w:rPr>
                <w:rFonts w:ascii="Arial" w:hAnsi="Arial" w:cs="Arial"/>
                <w:color w:val="000000"/>
                <w:sz w:val="18"/>
                <w:szCs w:val="18"/>
              </w:rPr>
            </w:pPr>
          </w:p>
        </w:tc>
        <w:tc>
          <w:tcPr>
            <w:tcW w:w="48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Default="00FD1512" w:rsidP="00100381">
            <w:pPr>
              <w:jc w:val="center"/>
              <w:rPr>
                <w:rFonts w:ascii="Arial" w:hAnsi="Arial" w:cs="Arial"/>
                <w:color w:val="000000"/>
                <w:sz w:val="18"/>
                <w:szCs w:val="18"/>
              </w:rPr>
            </w:pPr>
          </w:p>
        </w:tc>
        <w:tc>
          <w:tcPr>
            <w:tcW w:w="46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Default="00FD1512" w:rsidP="00100381">
            <w:pPr>
              <w:jc w:val="center"/>
              <w:rPr>
                <w:rFonts w:ascii="Arial" w:hAnsi="Arial" w:cs="Arial"/>
                <w:color w:val="000000"/>
                <w:sz w:val="18"/>
                <w:szCs w:val="18"/>
              </w:rPr>
            </w:pPr>
          </w:p>
        </w:tc>
        <w:tc>
          <w:tcPr>
            <w:tcW w:w="42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Default="00FD1512" w:rsidP="00100381">
            <w:pPr>
              <w:jc w:val="center"/>
              <w:rPr>
                <w:rFonts w:ascii="Arial" w:hAnsi="Arial" w:cs="Arial"/>
                <w:color w:val="000000"/>
                <w:sz w:val="18"/>
                <w:szCs w:val="18"/>
              </w:rPr>
            </w:pPr>
          </w:p>
        </w:tc>
        <w:tc>
          <w:tcPr>
            <w:tcW w:w="48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Default="00FD1512" w:rsidP="00100381">
            <w:pPr>
              <w:jc w:val="center"/>
              <w:rPr>
                <w:rFonts w:ascii="Arial" w:hAnsi="Arial" w:cs="Arial"/>
                <w:color w:val="000000"/>
                <w:sz w:val="18"/>
                <w:szCs w:val="18"/>
              </w:rPr>
            </w:pPr>
          </w:p>
        </w:tc>
        <w:tc>
          <w:tcPr>
            <w:tcW w:w="44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Default="00FD1512" w:rsidP="00100381">
            <w:pPr>
              <w:jc w:val="center"/>
              <w:rPr>
                <w:rFonts w:ascii="Arial" w:hAnsi="Arial" w:cs="Arial"/>
                <w:color w:val="000000"/>
                <w:sz w:val="18"/>
                <w:szCs w:val="18"/>
              </w:rPr>
            </w:pPr>
          </w:p>
        </w:tc>
        <w:tc>
          <w:tcPr>
            <w:tcW w:w="52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Default="00FD1512" w:rsidP="00100381">
            <w:pPr>
              <w:jc w:val="center"/>
              <w:rPr>
                <w:rFonts w:ascii="Arial" w:hAnsi="Arial" w:cs="Arial"/>
                <w:color w:val="000000"/>
                <w:sz w:val="18"/>
                <w:szCs w:val="18"/>
              </w:rPr>
            </w:pPr>
          </w:p>
        </w:tc>
        <w:tc>
          <w:tcPr>
            <w:tcW w:w="46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Default="00FD1512" w:rsidP="00100381">
            <w:pPr>
              <w:jc w:val="center"/>
              <w:rPr>
                <w:rFonts w:ascii="Arial" w:hAnsi="Arial" w:cs="Arial"/>
                <w:color w:val="000000"/>
                <w:sz w:val="18"/>
                <w:szCs w:val="18"/>
              </w:rPr>
            </w:pPr>
          </w:p>
        </w:tc>
        <w:tc>
          <w:tcPr>
            <w:tcW w:w="50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Default="00FD1512" w:rsidP="00100381">
            <w:pPr>
              <w:jc w:val="center"/>
              <w:rPr>
                <w:rFonts w:ascii="Arial" w:hAnsi="Arial" w:cs="Arial"/>
                <w:color w:val="000000"/>
                <w:sz w:val="18"/>
                <w:szCs w:val="18"/>
              </w:rPr>
            </w:pPr>
          </w:p>
        </w:tc>
        <w:tc>
          <w:tcPr>
            <w:tcW w:w="48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Default="00FD1512" w:rsidP="00100381">
            <w:pPr>
              <w:jc w:val="center"/>
              <w:rPr>
                <w:rFonts w:ascii="Arial" w:hAnsi="Arial" w:cs="Arial"/>
                <w:color w:val="000000"/>
                <w:sz w:val="18"/>
                <w:szCs w:val="18"/>
              </w:rPr>
            </w:pPr>
          </w:p>
        </w:tc>
        <w:tc>
          <w:tcPr>
            <w:tcW w:w="48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Default="00FD1512" w:rsidP="00100381">
            <w:pPr>
              <w:jc w:val="center"/>
              <w:rPr>
                <w:rFonts w:ascii="Arial" w:hAnsi="Arial" w:cs="Arial"/>
                <w:color w:val="000000"/>
                <w:sz w:val="18"/>
                <w:szCs w:val="18"/>
              </w:rPr>
            </w:pPr>
          </w:p>
        </w:tc>
        <w:tc>
          <w:tcPr>
            <w:tcW w:w="48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Default="00FD1512" w:rsidP="00100381">
            <w:pPr>
              <w:jc w:val="center"/>
              <w:rPr>
                <w:rFonts w:ascii="Arial" w:hAnsi="Arial" w:cs="Arial"/>
                <w:color w:val="000000"/>
                <w:sz w:val="18"/>
                <w:szCs w:val="18"/>
              </w:rPr>
            </w:pPr>
          </w:p>
        </w:tc>
        <w:tc>
          <w:tcPr>
            <w:tcW w:w="42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Default="00FD1512" w:rsidP="00100381">
            <w:pPr>
              <w:jc w:val="center"/>
              <w:rPr>
                <w:rFonts w:ascii="Arial" w:hAnsi="Arial" w:cs="Arial"/>
                <w:color w:val="000000"/>
                <w:sz w:val="18"/>
                <w:szCs w:val="18"/>
              </w:rPr>
            </w:pPr>
          </w:p>
        </w:tc>
        <w:tc>
          <w:tcPr>
            <w:tcW w:w="58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Default="00FD1512" w:rsidP="00100381">
            <w:pPr>
              <w:jc w:val="center"/>
              <w:rPr>
                <w:rFonts w:ascii="Arial" w:hAnsi="Arial" w:cs="Arial"/>
                <w:color w:val="000000"/>
                <w:sz w:val="18"/>
                <w:szCs w:val="18"/>
              </w:rPr>
            </w:pPr>
          </w:p>
        </w:tc>
        <w:tc>
          <w:tcPr>
            <w:tcW w:w="582"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Default="00FD1512" w:rsidP="00100381">
            <w:pPr>
              <w:jc w:val="center"/>
              <w:rPr>
                <w:rFonts w:ascii="Arial" w:hAnsi="Arial" w:cs="Arial"/>
                <w:color w:val="000000"/>
                <w:sz w:val="18"/>
                <w:szCs w:val="18"/>
              </w:rPr>
            </w:pPr>
          </w:p>
        </w:tc>
      </w:tr>
      <w:tr w:rsidR="00FD1512" w:rsidTr="005B0E79">
        <w:trPr>
          <w:jc w:val="center"/>
          <w:hidden/>
        </w:trPr>
        <w:tc>
          <w:tcPr>
            <w:tcW w:w="763" w:type="dxa"/>
            <w:vAlign w:val="center"/>
            <w:hideMark/>
          </w:tcPr>
          <w:p w:rsidR="00FD1512" w:rsidRDefault="00FD1512" w:rsidP="00100381">
            <w:pPr>
              <w:rPr>
                <w:rFonts w:ascii="宋体" w:eastAsia="宋体" w:cs="宋体"/>
                <w:vanish/>
                <w:sz w:val="24"/>
                <w:szCs w:val="24"/>
              </w:rPr>
            </w:pPr>
          </w:p>
        </w:tc>
        <w:tc>
          <w:tcPr>
            <w:tcW w:w="797" w:type="dxa"/>
            <w:vAlign w:val="center"/>
            <w:hideMark/>
          </w:tcPr>
          <w:p w:rsidR="00FD1512" w:rsidRDefault="00FD1512" w:rsidP="00100381">
            <w:pPr>
              <w:rPr>
                <w:rFonts w:ascii="宋体" w:eastAsia="宋体" w:cs="宋体"/>
                <w:vanish/>
                <w:sz w:val="24"/>
                <w:szCs w:val="24"/>
              </w:rPr>
            </w:pPr>
          </w:p>
        </w:tc>
        <w:tc>
          <w:tcPr>
            <w:tcW w:w="402" w:type="dxa"/>
            <w:vAlign w:val="center"/>
            <w:hideMark/>
          </w:tcPr>
          <w:p w:rsidR="00FD1512" w:rsidRDefault="00FD1512" w:rsidP="00100381">
            <w:pPr>
              <w:rPr>
                <w:rFonts w:ascii="宋体" w:eastAsia="宋体" w:cs="宋体"/>
                <w:vanish/>
                <w:sz w:val="24"/>
                <w:szCs w:val="24"/>
              </w:rPr>
            </w:pPr>
          </w:p>
        </w:tc>
        <w:tc>
          <w:tcPr>
            <w:tcW w:w="460" w:type="dxa"/>
            <w:gridSpan w:val="2"/>
            <w:vAlign w:val="center"/>
            <w:hideMark/>
          </w:tcPr>
          <w:p w:rsidR="00FD1512" w:rsidRDefault="00FD1512" w:rsidP="00100381">
            <w:pPr>
              <w:rPr>
                <w:rFonts w:ascii="宋体" w:eastAsia="宋体" w:cs="宋体"/>
                <w:vanish/>
                <w:sz w:val="24"/>
                <w:szCs w:val="24"/>
              </w:rPr>
            </w:pPr>
          </w:p>
        </w:tc>
        <w:tc>
          <w:tcPr>
            <w:tcW w:w="440" w:type="dxa"/>
            <w:gridSpan w:val="2"/>
            <w:vAlign w:val="center"/>
            <w:hideMark/>
          </w:tcPr>
          <w:p w:rsidR="00FD1512" w:rsidRDefault="00FD1512" w:rsidP="00100381">
            <w:pPr>
              <w:rPr>
                <w:rFonts w:ascii="宋体" w:eastAsia="宋体" w:cs="宋体"/>
                <w:vanish/>
                <w:sz w:val="24"/>
                <w:szCs w:val="24"/>
              </w:rPr>
            </w:pPr>
          </w:p>
        </w:tc>
        <w:tc>
          <w:tcPr>
            <w:tcW w:w="460" w:type="dxa"/>
            <w:gridSpan w:val="2"/>
            <w:vAlign w:val="center"/>
            <w:hideMark/>
          </w:tcPr>
          <w:p w:rsidR="00FD1512" w:rsidRDefault="00FD1512" w:rsidP="00100381">
            <w:pPr>
              <w:rPr>
                <w:rFonts w:ascii="宋体" w:eastAsia="宋体" w:cs="宋体"/>
                <w:vanish/>
                <w:sz w:val="24"/>
                <w:szCs w:val="24"/>
              </w:rPr>
            </w:pPr>
          </w:p>
        </w:tc>
        <w:tc>
          <w:tcPr>
            <w:tcW w:w="480" w:type="dxa"/>
            <w:gridSpan w:val="2"/>
            <w:vAlign w:val="center"/>
            <w:hideMark/>
          </w:tcPr>
          <w:p w:rsidR="00FD1512" w:rsidRDefault="00FD1512" w:rsidP="00100381">
            <w:pPr>
              <w:rPr>
                <w:rFonts w:ascii="宋体" w:eastAsia="宋体" w:cs="宋体"/>
                <w:vanish/>
                <w:sz w:val="24"/>
                <w:szCs w:val="24"/>
              </w:rPr>
            </w:pPr>
          </w:p>
        </w:tc>
        <w:tc>
          <w:tcPr>
            <w:tcW w:w="460" w:type="dxa"/>
            <w:gridSpan w:val="2"/>
            <w:vAlign w:val="center"/>
            <w:hideMark/>
          </w:tcPr>
          <w:p w:rsidR="00FD1512" w:rsidRDefault="00FD1512" w:rsidP="00100381">
            <w:pPr>
              <w:rPr>
                <w:rFonts w:ascii="宋体" w:eastAsia="宋体" w:cs="宋体"/>
                <w:vanish/>
                <w:sz w:val="24"/>
                <w:szCs w:val="24"/>
              </w:rPr>
            </w:pPr>
          </w:p>
        </w:tc>
        <w:tc>
          <w:tcPr>
            <w:tcW w:w="420" w:type="dxa"/>
            <w:gridSpan w:val="2"/>
            <w:vAlign w:val="center"/>
            <w:hideMark/>
          </w:tcPr>
          <w:p w:rsidR="00FD1512" w:rsidRDefault="00FD1512" w:rsidP="00100381">
            <w:pPr>
              <w:rPr>
                <w:rFonts w:ascii="宋体" w:eastAsia="宋体" w:cs="宋体"/>
                <w:vanish/>
                <w:sz w:val="24"/>
                <w:szCs w:val="24"/>
              </w:rPr>
            </w:pPr>
          </w:p>
        </w:tc>
        <w:tc>
          <w:tcPr>
            <w:tcW w:w="480" w:type="dxa"/>
            <w:gridSpan w:val="2"/>
            <w:vAlign w:val="center"/>
            <w:hideMark/>
          </w:tcPr>
          <w:p w:rsidR="00FD1512" w:rsidRDefault="00FD1512" w:rsidP="00100381">
            <w:pPr>
              <w:rPr>
                <w:rFonts w:ascii="宋体" w:eastAsia="宋体" w:cs="宋体"/>
                <w:vanish/>
                <w:sz w:val="24"/>
                <w:szCs w:val="24"/>
              </w:rPr>
            </w:pPr>
          </w:p>
        </w:tc>
        <w:tc>
          <w:tcPr>
            <w:tcW w:w="440" w:type="dxa"/>
            <w:gridSpan w:val="2"/>
            <w:vAlign w:val="center"/>
            <w:hideMark/>
          </w:tcPr>
          <w:p w:rsidR="00FD1512" w:rsidRDefault="00FD1512" w:rsidP="00100381">
            <w:pPr>
              <w:rPr>
                <w:rFonts w:ascii="宋体" w:eastAsia="宋体" w:cs="宋体"/>
                <w:vanish/>
                <w:sz w:val="24"/>
                <w:szCs w:val="24"/>
              </w:rPr>
            </w:pPr>
          </w:p>
        </w:tc>
        <w:tc>
          <w:tcPr>
            <w:tcW w:w="520" w:type="dxa"/>
            <w:gridSpan w:val="2"/>
            <w:vAlign w:val="center"/>
            <w:hideMark/>
          </w:tcPr>
          <w:p w:rsidR="00FD1512" w:rsidRDefault="00FD1512" w:rsidP="00100381">
            <w:pPr>
              <w:rPr>
                <w:rFonts w:ascii="宋体" w:eastAsia="宋体" w:cs="宋体"/>
                <w:vanish/>
                <w:sz w:val="24"/>
                <w:szCs w:val="24"/>
              </w:rPr>
            </w:pPr>
          </w:p>
        </w:tc>
        <w:tc>
          <w:tcPr>
            <w:tcW w:w="460" w:type="dxa"/>
            <w:gridSpan w:val="2"/>
            <w:vAlign w:val="center"/>
            <w:hideMark/>
          </w:tcPr>
          <w:p w:rsidR="00FD1512" w:rsidRDefault="00FD1512" w:rsidP="00100381">
            <w:pPr>
              <w:rPr>
                <w:rFonts w:ascii="宋体" w:eastAsia="宋体" w:cs="宋体"/>
                <w:vanish/>
                <w:sz w:val="24"/>
                <w:szCs w:val="24"/>
              </w:rPr>
            </w:pPr>
          </w:p>
        </w:tc>
        <w:tc>
          <w:tcPr>
            <w:tcW w:w="500" w:type="dxa"/>
            <w:gridSpan w:val="2"/>
            <w:vAlign w:val="center"/>
            <w:hideMark/>
          </w:tcPr>
          <w:p w:rsidR="00FD1512" w:rsidRDefault="00FD1512" w:rsidP="00100381">
            <w:pPr>
              <w:rPr>
                <w:rFonts w:ascii="宋体" w:eastAsia="宋体" w:cs="宋体"/>
                <w:vanish/>
                <w:sz w:val="24"/>
                <w:szCs w:val="24"/>
              </w:rPr>
            </w:pPr>
          </w:p>
        </w:tc>
        <w:tc>
          <w:tcPr>
            <w:tcW w:w="480" w:type="dxa"/>
            <w:gridSpan w:val="2"/>
            <w:vAlign w:val="center"/>
            <w:hideMark/>
          </w:tcPr>
          <w:p w:rsidR="00FD1512" w:rsidRDefault="00FD1512" w:rsidP="00100381">
            <w:pPr>
              <w:rPr>
                <w:rFonts w:ascii="宋体" w:eastAsia="宋体" w:cs="宋体"/>
                <w:vanish/>
                <w:sz w:val="24"/>
                <w:szCs w:val="24"/>
              </w:rPr>
            </w:pPr>
          </w:p>
        </w:tc>
        <w:tc>
          <w:tcPr>
            <w:tcW w:w="480" w:type="dxa"/>
            <w:gridSpan w:val="2"/>
            <w:vAlign w:val="center"/>
            <w:hideMark/>
          </w:tcPr>
          <w:p w:rsidR="00FD1512" w:rsidRDefault="00FD1512" w:rsidP="00100381">
            <w:pPr>
              <w:rPr>
                <w:rFonts w:ascii="宋体" w:eastAsia="宋体" w:cs="宋体"/>
                <w:vanish/>
                <w:sz w:val="24"/>
                <w:szCs w:val="24"/>
              </w:rPr>
            </w:pPr>
          </w:p>
        </w:tc>
        <w:tc>
          <w:tcPr>
            <w:tcW w:w="480" w:type="dxa"/>
            <w:gridSpan w:val="2"/>
            <w:vAlign w:val="center"/>
            <w:hideMark/>
          </w:tcPr>
          <w:p w:rsidR="00FD1512" w:rsidRDefault="00FD1512" w:rsidP="00100381">
            <w:pPr>
              <w:rPr>
                <w:rFonts w:ascii="宋体" w:eastAsia="宋体" w:cs="宋体"/>
                <w:vanish/>
                <w:sz w:val="24"/>
                <w:szCs w:val="24"/>
              </w:rPr>
            </w:pPr>
          </w:p>
        </w:tc>
        <w:tc>
          <w:tcPr>
            <w:tcW w:w="420" w:type="dxa"/>
            <w:gridSpan w:val="2"/>
            <w:vAlign w:val="center"/>
            <w:hideMark/>
          </w:tcPr>
          <w:p w:rsidR="00FD1512" w:rsidRDefault="00FD1512" w:rsidP="00100381">
            <w:pPr>
              <w:rPr>
                <w:rFonts w:ascii="宋体" w:eastAsia="宋体" w:cs="宋体"/>
                <w:vanish/>
                <w:sz w:val="24"/>
                <w:szCs w:val="24"/>
              </w:rPr>
            </w:pPr>
          </w:p>
        </w:tc>
        <w:tc>
          <w:tcPr>
            <w:tcW w:w="580" w:type="dxa"/>
            <w:gridSpan w:val="2"/>
            <w:vAlign w:val="center"/>
            <w:hideMark/>
          </w:tcPr>
          <w:p w:rsidR="00FD1512" w:rsidRDefault="00FD1512" w:rsidP="00100381">
            <w:pPr>
              <w:rPr>
                <w:rFonts w:ascii="宋体" w:eastAsia="宋体" w:cs="宋体"/>
                <w:vanish/>
                <w:sz w:val="24"/>
                <w:szCs w:val="24"/>
              </w:rPr>
            </w:pPr>
          </w:p>
        </w:tc>
        <w:tc>
          <w:tcPr>
            <w:tcW w:w="582" w:type="dxa"/>
            <w:gridSpan w:val="2"/>
            <w:vAlign w:val="center"/>
            <w:hideMark/>
          </w:tcPr>
          <w:p w:rsidR="00FD1512" w:rsidRDefault="00FD1512" w:rsidP="00100381">
            <w:pPr>
              <w:rPr>
                <w:rFonts w:ascii="宋体" w:eastAsia="宋体" w:cs="宋体"/>
                <w:vanish/>
                <w:sz w:val="24"/>
                <w:szCs w:val="24"/>
              </w:rPr>
            </w:pPr>
          </w:p>
        </w:tc>
      </w:tr>
    </w:tbl>
    <w:p w:rsidR="008108FF" w:rsidRPr="008108FF" w:rsidRDefault="008108FF" w:rsidP="008108FF">
      <w:pPr>
        <w:snapToGrid w:val="0"/>
        <w:ind w:firstLineChars="150" w:firstLine="196"/>
        <w:rPr>
          <w:rFonts w:ascii="黑体" w:eastAsia="黑体" w:hAnsi="黑体"/>
          <w:b/>
          <w:color w:val="000000"/>
          <w:sz w:val="13"/>
          <w:szCs w:val="13"/>
        </w:rPr>
      </w:pPr>
    </w:p>
    <w:p w:rsidR="00F930A4" w:rsidRPr="00821A47" w:rsidRDefault="00F930A4" w:rsidP="008108FF">
      <w:pPr>
        <w:snapToGrid w:val="0"/>
        <w:spacing w:line="360" w:lineRule="auto"/>
        <w:ind w:firstLineChars="150" w:firstLine="482"/>
        <w:rPr>
          <w:rFonts w:ascii="黑体" w:eastAsia="黑体" w:hAnsi="黑体"/>
          <w:color w:val="000000"/>
        </w:rPr>
      </w:pPr>
      <w:r w:rsidRPr="00821A47">
        <w:rPr>
          <w:rFonts w:ascii="黑体" w:eastAsia="黑体" w:hAnsi="黑体" w:hint="eastAsia"/>
          <w:b/>
          <w:color w:val="000000"/>
        </w:rPr>
        <w:t>（四）电子法院应用情况</w:t>
      </w:r>
    </w:p>
    <w:p w:rsidR="00D60C02" w:rsidRDefault="00636A9E" w:rsidP="00114048">
      <w:pPr>
        <w:snapToGrid w:val="0"/>
        <w:spacing w:line="360" w:lineRule="auto"/>
        <w:ind w:firstLine="645"/>
        <w:rPr>
          <w:color w:val="000000"/>
        </w:rPr>
      </w:pPr>
      <w:r>
        <w:rPr>
          <w:rFonts w:hint="eastAsia"/>
          <w:color w:val="000000"/>
        </w:rPr>
        <w:t>2017年</w:t>
      </w:r>
      <w:r w:rsidR="006E27F1">
        <w:rPr>
          <w:rFonts w:hint="eastAsia"/>
          <w:color w:val="000000"/>
        </w:rPr>
        <w:t>三季度</w:t>
      </w:r>
      <w:r w:rsidR="0028747A">
        <w:rPr>
          <w:rFonts w:hint="eastAsia"/>
          <w:color w:val="000000"/>
        </w:rPr>
        <w:t>和龙市人民法院</w:t>
      </w:r>
      <w:r w:rsidR="0056764A">
        <w:rPr>
          <w:rFonts w:hint="eastAsia"/>
          <w:color w:val="000000"/>
        </w:rPr>
        <w:t>网上立案</w:t>
      </w:r>
      <w:r w:rsidR="006E27F1" w:rsidRPr="00AF4AC5">
        <w:rPr>
          <w:rFonts w:hint="eastAsia"/>
          <w:color w:val="000000"/>
        </w:rPr>
        <w:t>832</w:t>
      </w:r>
      <w:r w:rsidR="00AF410E" w:rsidRPr="00AF410E">
        <w:rPr>
          <w:rFonts w:hint="eastAsia"/>
          <w:color w:val="000000"/>
        </w:rPr>
        <w:t>件，网上交费</w:t>
      </w:r>
      <w:r w:rsidR="00682A39">
        <w:rPr>
          <w:rFonts w:hint="eastAsia"/>
          <w:color w:val="000000"/>
        </w:rPr>
        <w:t>81件，</w:t>
      </w:r>
      <w:r w:rsidR="00AF410E" w:rsidRPr="00AF410E">
        <w:rPr>
          <w:rFonts w:hint="eastAsia"/>
          <w:color w:val="000000"/>
        </w:rPr>
        <w:t>电子送达</w:t>
      </w:r>
      <w:r w:rsidR="00682A39">
        <w:rPr>
          <w:rFonts w:hint="eastAsia"/>
          <w:color w:val="000000"/>
        </w:rPr>
        <w:t>3</w:t>
      </w:r>
      <w:r w:rsidR="006E27F1">
        <w:rPr>
          <w:rFonts w:hint="eastAsia"/>
          <w:color w:val="000000"/>
        </w:rPr>
        <w:t>20</w:t>
      </w:r>
      <w:r w:rsidR="00682A39">
        <w:rPr>
          <w:rFonts w:hint="eastAsia"/>
          <w:color w:val="000000"/>
        </w:rPr>
        <w:t>件，审诉辩3件，</w:t>
      </w:r>
      <w:r w:rsidR="006E27F1" w:rsidRPr="00AF410E">
        <w:rPr>
          <w:rFonts w:hint="eastAsia"/>
          <w:color w:val="000000"/>
        </w:rPr>
        <w:t>云会议</w:t>
      </w:r>
      <w:r w:rsidR="006E27F1">
        <w:rPr>
          <w:rFonts w:hint="eastAsia"/>
          <w:color w:val="000000"/>
        </w:rPr>
        <w:t>6件,</w:t>
      </w:r>
      <w:r w:rsidR="00AF410E" w:rsidRPr="00AF410E">
        <w:rPr>
          <w:rFonts w:hint="eastAsia"/>
          <w:color w:val="000000"/>
        </w:rPr>
        <w:t>网上阅卷</w:t>
      </w:r>
      <w:r w:rsidR="00921660">
        <w:rPr>
          <w:rFonts w:hint="eastAsia"/>
          <w:color w:val="000000"/>
        </w:rPr>
        <w:t>、</w:t>
      </w:r>
      <w:r w:rsidR="00AF410E" w:rsidRPr="00AF410E">
        <w:rPr>
          <w:rFonts w:hint="eastAsia"/>
          <w:color w:val="000000"/>
        </w:rPr>
        <w:t>证据交换</w:t>
      </w:r>
      <w:r w:rsidR="00921660">
        <w:rPr>
          <w:rFonts w:hint="eastAsia"/>
          <w:color w:val="000000"/>
        </w:rPr>
        <w:t>均未应用</w:t>
      </w:r>
      <w:r w:rsidR="005A0079">
        <w:rPr>
          <w:rFonts w:hint="eastAsia"/>
          <w:color w:val="000000"/>
        </w:rPr>
        <w:t>。</w:t>
      </w:r>
    </w:p>
    <w:p w:rsidR="0056764A" w:rsidRPr="00821A47" w:rsidRDefault="0056764A" w:rsidP="001B5811">
      <w:pPr>
        <w:snapToGrid w:val="0"/>
        <w:spacing w:line="360" w:lineRule="auto"/>
        <w:ind w:firstLineChars="200" w:firstLine="643"/>
        <w:rPr>
          <w:rFonts w:ascii="黑体" w:eastAsia="黑体" w:hAnsi="黑体"/>
          <w:color w:val="000000"/>
        </w:rPr>
      </w:pPr>
      <w:r w:rsidRPr="00821A47">
        <w:rPr>
          <w:rFonts w:ascii="黑体" w:eastAsia="黑体" w:hAnsi="黑体" w:hint="eastAsia"/>
          <w:b/>
          <w:color w:val="000000"/>
        </w:rPr>
        <w:t>（</w:t>
      </w:r>
      <w:r w:rsidR="001B5811">
        <w:rPr>
          <w:rFonts w:ascii="黑体" w:eastAsia="黑体" w:hAnsi="黑体" w:hint="eastAsia"/>
          <w:b/>
          <w:color w:val="000000"/>
        </w:rPr>
        <w:t>六</w:t>
      </w:r>
      <w:r w:rsidRPr="00821A47">
        <w:rPr>
          <w:rFonts w:ascii="黑体" w:eastAsia="黑体" w:hAnsi="黑体" w:hint="eastAsia"/>
          <w:b/>
          <w:color w:val="000000"/>
        </w:rPr>
        <w:t>）</w:t>
      </w:r>
      <w:r w:rsidR="00C373A3" w:rsidRPr="00821A47">
        <w:rPr>
          <w:rFonts w:ascii="黑体" w:eastAsia="黑体" w:hAnsi="黑体" w:hint="eastAsia"/>
          <w:b/>
          <w:color w:val="000000"/>
        </w:rPr>
        <w:t>裁判文书上网</w:t>
      </w:r>
      <w:r w:rsidRPr="00821A47">
        <w:rPr>
          <w:rFonts w:ascii="黑体" w:eastAsia="黑体" w:hAnsi="黑体" w:hint="eastAsia"/>
          <w:b/>
          <w:color w:val="000000"/>
        </w:rPr>
        <w:t>情况</w:t>
      </w:r>
    </w:p>
    <w:p w:rsidR="0056764A" w:rsidRDefault="00636A9E" w:rsidP="0056764A">
      <w:pPr>
        <w:snapToGrid w:val="0"/>
        <w:spacing w:line="360" w:lineRule="auto"/>
        <w:ind w:firstLine="645"/>
        <w:rPr>
          <w:color w:val="000000"/>
        </w:rPr>
      </w:pPr>
      <w:r>
        <w:rPr>
          <w:rFonts w:hint="eastAsia"/>
          <w:color w:val="000000"/>
        </w:rPr>
        <w:t>2017年</w:t>
      </w:r>
      <w:r w:rsidR="006E27F1">
        <w:rPr>
          <w:rFonts w:hint="eastAsia"/>
          <w:color w:val="000000"/>
        </w:rPr>
        <w:t>三季度</w:t>
      </w:r>
      <w:r w:rsidR="00C373A3">
        <w:rPr>
          <w:rFonts w:hint="eastAsia"/>
          <w:color w:val="000000"/>
        </w:rPr>
        <w:t>和龙市人民法院上网数</w:t>
      </w:r>
      <w:r w:rsidR="006E27F1">
        <w:rPr>
          <w:rFonts w:hint="eastAsia"/>
          <w:color w:val="000000"/>
        </w:rPr>
        <w:t>987</w:t>
      </w:r>
      <w:r w:rsidR="00C373A3">
        <w:rPr>
          <w:rFonts w:hint="eastAsia"/>
          <w:color w:val="000000"/>
        </w:rPr>
        <w:t>件，结案数</w:t>
      </w:r>
      <w:r w:rsidR="00BD6AB5">
        <w:rPr>
          <w:rFonts w:hint="eastAsia"/>
          <w:color w:val="000000"/>
        </w:rPr>
        <w:t>1</w:t>
      </w:r>
      <w:r w:rsidR="006E27F1">
        <w:rPr>
          <w:rFonts w:hint="eastAsia"/>
          <w:color w:val="000000"/>
        </w:rPr>
        <w:t>412</w:t>
      </w:r>
      <w:r w:rsidR="00C373A3">
        <w:rPr>
          <w:rFonts w:hint="eastAsia"/>
          <w:color w:val="000000"/>
        </w:rPr>
        <w:t>件，民事调解数</w:t>
      </w:r>
      <w:r w:rsidR="00BD6AB5">
        <w:rPr>
          <w:rFonts w:hint="eastAsia"/>
          <w:color w:val="000000"/>
        </w:rPr>
        <w:t>1</w:t>
      </w:r>
      <w:r w:rsidR="006E27F1">
        <w:rPr>
          <w:rFonts w:hint="eastAsia"/>
          <w:color w:val="000000"/>
        </w:rPr>
        <w:t>59</w:t>
      </w:r>
      <w:r w:rsidR="00C373A3">
        <w:rPr>
          <w:rFonts w:hint="eastAsia"/>
          <w:color w:val="000000"/>
        </w:rPr>
        <w:t>件，上网率为</w:t>
      </w:r>
      <w:r w:rsidR="006E27F1">
        <w:rPr>
          <w:rFonts w:hint="eastAsia"/>
          <w:color w:val="000000"/>
        </w:rPr>
        <w:t>82.80</w:t>
      </w:r>
      <w:r w:rsidR="00C373A3">
        <w:rPr>
          <w:rFonts w:hint="eastAsia"/>
          <w:color w:val="000000"/>
        </w:rPr>
        <w:t>%。</w:t>
      </w:r>
    </w:p>
    <w:p w:rsidR="00060BBB" w:rsidRPr="00821A47" w:rsidRDefault="00060BBB" w:rsidP="00821A47">
      <w:pPr>
        <w:snapToGrid w:val="0"/>
        <w:spacing w:line="360" w:lineRule="auto"/>
        <w:ind w:firstLineChars="200" w:firstLine="643"/>
        <w:rPr>
          <w:rFonts w:ascii="黑体" w:eastAsia="黑体" w:hAnsi="黑体"/>
          <w:color w:val="000000"/>
        </w:rPr>
      </w:pPr>
      <w:r w:rsidRPr="00821A47">
        <w:rPr>
          <w:rFonts w:ascii="黑体" w:eastAsia="黑体" w:hAnsi="黑体" w:hint="eastAsia"/>
          <w:b/>
          <w:color w:val="000000"/>
        </w:rPr>
        <w:t>（</w:t>
      </w:r>
      <w:r w:rsidR="001B5811">
        <w:rPr>
          <w:rFonts w:ascii="黑体" w:eastAsia="黑体" w:hAnsi="黑体" w:hint="eastAsia"/>
          <w:b/>
          <w:color w:val="000000"/>
        </w:rPr>
        <w:t>七</w:t>
      </w:r>
      <w:r w:rsidRPr="00821A47">
        <w:rPr>
          <w:rFonts w:ascii="黑体" w:eastAsia="黑体" w:hAnsi="黑体" w:hint="eastAsia"/>
          <w:b/>
          <w:color w:val="000000"/>
        </w:rPr>
        <w:t>）已结案件归档情况</w:t>
      </w:r>
    </w:p>
    <w:p w:rsidR="00173B3D" w:rsidRDefault="00EC03F5" w:rsidP="006443A9">
      <w:pPr>
        <w:snapToGrid w:val="0"/>
        <w:spacing w:line="360" w:lineRule="auto"/>
        <w:ind w:firstLine="645"/>
      </w:pPr>
      <w:r>
        <w:rPr>
          <w:rFonts w:hint="eastAsia"/>
          <w:color w:val="000000"/>
        </w:rPr>
        <w:t>2017年</w:t>
      </w:r>
      <w:r w:rsidR="000B487A">
        <w:rPr>
          <w:rFonts w:hint="eastAsia"/>
          <w:color w:val="000000"/>
        </w:rPr>
        <w:t>三季度</w:t>
      </w:r>
      <w:r>
        <w:rPr>
          <w:rFonts w:hint="eastAsia"/>
        </w:rPr>
        <w:t>和龙市人民法院共审（执）结刑事、民事、行政、赔偿、执行、审查监督案件应归档的案件1</w:t>
      </w:r>
      <w:r w:rsidR="000B487A">
        <w:rPr>
          <w:rFonts w:hint="eastAsia"/>
        </w:rPr>
        <w:t>412</w:t>
      </w:r>
      <w:r>
        <w:rPr>
          <w:rFonts w:hint="eastAsia"/>
        </w:rPr>
        <w:t>件，已归档案件</w:t>
      </w:r>
      <w:r w:rsidR="00D90519">
        <w:rPr>
          <w:rFonts w:hint="eastAsia"/>
        </w:rPr>
        <w:t>1066</w:t>
      </w:r>
      <w:r>
        <w:rPr>
          <w:rFonts w:hint="eastAsia"/>
        </w:rPr>
        <w:t>件，</w:t>
      </w:r>
      <w:r>
        <w:rPr>
          <w:rFonts w:hint="eastAsia"/>
          <w:color w:val="000000"/>
        </w:rPr>
        <w:t>未归档案件</w:t>
      </w:r>
      <w:r w:rsidR="00D90519">
        <w:rPr>
          <w:rFonts w:hint="eastAsia"/>
          <w:color w:val="000000"/>
        </w:rPr>
        <w:t>345</w:t>
      </w:r>
      <w:r>
        <w:rPr>
          <w:rFonts w:hint="eastAsia"/>
          <w:color w:val="000000"/>
        </w:rPr>
        <w:t>件</w:t>
      </w:r>
      <w:r w:rsidR="000C1B30">
        <w:rPr>
          <w:rFonts w:hint="eastAsia"/>
        </w:rPr>
        <w:t>，归档率为</w:t>
      </w:r>
      <w:r w:rsidR="0004254F">
        <w:rPr>
          <w:rFonts w:hint="eastAsia"/>
        </w:rPr>
        <w:t>7</w:t>
      </w:r>
      <w:r w:rsidR="00D90519">
        <w:rPr>
          <w:rFonts w:hint="eastAsia"/>
        </w:rPr>
        <w:t>5.50</w:t>
      </w:r>
      <w:r w:rsidR="000C1B30">
        <w:rPr>
          <w:rFonts w:hint="eastAsia"/>
        </w:rPr>
        <w:t>%</w:t>
      </w:r>
      <w:r w:rsidR="00114048">
        <w:rPr>
          <w:rFonts w:hint="eastAsia"/>
        </w:rPr>
        <w:t xml:space="preserve">。 </w:t>
      </w:r>
    </w:p>
    <w:p w:rsidR="0073054E" w:rsidRPr="002C1BAF" w:rsidRDefault="0073054E" w:rsidP="00821A47">
      <w:pPr>
        <w:snapToGrid w:val="0"/>
        <w:spacing w:line="580" w:lineRule="exact"/>
        <w:ind w:firstLineChars="200" w:firstLine="643"/>
        <w:rPr>
          <w:rFonts w:ascii="黑体" w:eastAsia="黑体" w:hAnsi="黑体"/>
          <w:b/>
        </w:rPr>
      </w:pPr>
      <w:r w:rsidRPr="002C1BAF">
        <w:rPr>
          <w:rFonts w:ascii="黑体" w:eastAsia="黑体" w:hAnsi="黑体" w:hint="eastAsia"/>
          <w:b/>
        </w:rPr>
        <w:t>三、审判管理工作中的</w:t>
      </w:r>
      <w:r w:rsidR="008007B2" w:rsidRPr="002C1BAF">
        <w:rPr>
          <w:rFonts w:ascii="黑体" w:eastAsia="黑体" w:hAnsi="黑体" w:hint="eastAsia"/>
          <w:b/>
        </w:rPr>
        <w:t>主要措施</w:t>
      </w:r>
    </w:p>
    <w:p w:rsidR="00C96289" w:rsidRDefault="0073054E" w:rsidP="00821A47">
      <w:pPr>
        <w:snapToGrid w:val="0"/>
        <w:spacing w:line="580" w:lineRule="exact"/>
        <w:ind w:firstLineChars="251" w:firstLine="806"/>
      </w:pPr>
      <w:r w:rsidRPr="00821A47">
        <w:rPr>
          <w:rFonts w:hint="eastAsia"/>
          <w:b/>
        </w:rPr>
        <w:lastRenderedPageBreak/>
        <w:t>（一）严格</w:t>
      </w:r>
      <w:r w:rsidR="00C96289" w:rsidRPr="00821A47">
        <w:rPr>
          <w:rFonts w:hint="eastAsia"/>
          <w:b/>
        </w:rPr>
        <w:t>管理审限制度，让每一个案件做到高效审理</w:t>
      </w:r>
      <w:r w:rsidR="00821A47">
        <w:rPr>
          <w:rFonts w:hint="eastAsia"/>
        </w:rPr>
        <w:t>。</w:t>
      </w:r>
      <w:r w:rsidR="00C96289" w:rsidRPr="00C96289">
        <w:rPr>
          <w:rFonts w:hint="eastAsia"/>
        </w:rPr>
        <w:t>年初，</w:t>
      </w:r>
      <w:r w:rsidR="00C96289">
        <w:rPr>
          <w:rFonts w:hint="eastAsia"/>
        </w:rPr>
        <w:t>和龙</w:t>
      </w:r>
      <w:r w:rsidR="00004462">
        <w:rPr>
          <w:rFonts w:hint="eastAsia"/>
        </w:rPr>
        <w:t>市</w:t>
      </w:r>
      <w:r w:rsidR="00C96289">
        <w:rPr>
          <w:rFonts w:hint="eastAsia"/>
        </w:rPr>
        <w:t>人民法院改革了审限签批制度，要求鉴定、公告等法律明文规定必须扣除审限的案件放权给主管院长，让主管院长把关，</w:t>
      </w:r>
      <w:r w:rsidR="00821A47">
        <w:rPr>
          <w:rFonts w:hint="eastAsia"/>
        </w:rPr>
        <w:t>提高办案效率，</w:t>
      </w:r>
      <w:r w:rsidR="00C96289">
        <w:rPr>
          <w:rFonts w:hint="eastAsia"/>
        </w:rPr>
        <w:t>对于中止、延长审限等不能在法定审限内结案的案件，除庭长、主管院长签批以外，还</w:t>
      </w:r>
      <w:r w:rsidR="00821A47">
        <w:rPr>
          <w:rFonts w:hint="eastAsia"/>
        </w:rPr>
        <w:t>要求</w:t>
      </w:r>
      <w:r w:rsidR="00C96289">
        <w:rPr>
          <w:rFonts w:hint="eastAsia"/>
        </w:rPr>
        <w:t>审管办主管院长审批，以此严格控制审限。</w:t>
      </w:r>
    </w:p>
    <w:p w:rsidR="00C96289" w:rsidRDefault="00C96289" w:rsidP="00821A47">
      <w:pPr>
        <w:snapToGrid w:val="0"/>
        <w:spacing w:line="580" w:lineRule="exact"/>
        <w:ind w:firstLineChars="251" w:firstLine="806"/>
      </w:pPr>
      <w:r w:rsidRPr="00821A47">
        <w:rPr>
          <w:rFonts w:hint="eastAsia"/>
          <w:b/>
        </w:rPr>
        <w:t>（二）做到一案一评查，力求细致中找到案件不足。</w:t>
      </w:r>
      <w:r>
        <w:rPr>
          <w:rFonts w:hint="eastAsia"/>
        </w:rPr>
        <w:t>和龙</w:t>
      </w:r>
      <w:r w:rsidR="00004462">
        <w:rPr>
          <w:rFonts w:hint="eastAsia"/>
        </w:rPr>
        <w:t>市人民</w:t>
      </w:r>
      <w:r>
        <w:rPr>
          <w:rFonts w:hint="eastAsia"/>
        </w:rPr>
        <w:t>法院近年来一直对卷宗进行评查，自司法改革以来，卷宗本应由主审人自己负责，但是和龙</w:t>
      </w:r>
      <w:r w:rsidR="00004462">
        <w:rPr>
          <w:rFonts w:hint="eastAsia"/>
        </w:rPr>
        <w:t>市人民</w:t>
      </w:r>
      <w:r>
        <w:rPr>
          <w:rFonts w:hint="eastAsia"/>
        </w:rPr>
        <w:t>法院秉着对案件负责，对法官负责的态度，安排专人专门负责评查卷宗，做到一案一评查，重点从审限情况、开庭流程、送达情况等方面着手严格审查卷宗，卷宗有问题一律退还给办案人，合格的</w:t>
      </w:r>
      <w:r w:rsidR="00821A47">
        <w:rPr>
          <w:rFonts w:hint="eastAsia"/>
        </w:rPr>
        <w:t>卷宗</w:t>
      </w:r>
      <w:r>
        <w:rPr>
          <w:rFonts w:hint="eastAsia"/>
        </w:rPr>
        <w:t>评查人才签字</w:t>
      </w:r>
      <w:r w:rsidR="00821A47">
        <w:rPr>
          <w:rFonts w:hint="eastAsia"/>
        </w:rPr>
        <w:t>确认</w:t>
      </w:r>
      <w:r>
        <w:rPr>
          <w:rFonts w:hint="eastAsia"/>
        </w:rPr>
        <w:t>，如无评查人签字</w:t>
      </w:r>
      <w:r w:rsidR="00821A47">
        <w:rPr>
          <w:rFonts w:hint="eastAsia"/>
        </w:rPr>
        <w:t>确认</w:t>
      </w:r>
      <w:r>
        <w:rPr>
          <w:rFonts w:hint="eastAsia"/>
        </w:rPr>
        <w:t>，档案室拒收卷宗，做到对卷宗严格把关。</w:t>
      </w:r>
    </w:p>
    <w:p w:rsidR="00C96289" w:rsidRDefault="00C96289" w:rsidP="00F73FBF">
      <w:pPr>
        <w:snapToGrid w:val="0"/>
        <w:spacing w:line="580" w:lineRule="exact"/>
        <w:ind w:firstLineChars="251" w:firstLine="806"/>
        <w:jc w:val="center"/>
      </w:pPr>
      <w:r w:rsidRPr="00821A47">
        <w:rPr>
          <w:rFonts w:hint="eastAsia"/>
          <w:b/>
        </w:rPr>
        <w:t>（三）定期通报数据，给负责人指明方向，让法官心中有数。</w:t>
      </w:r>
      <w:r>
        <w:rPr>
          <w:rFonts w:hint="eastAsia"/>
        </w:rPr>
        <w:t>审管办坚持</w:t>
      </w:r>
      <w:r w:rsidR="00F73FBF">
        <w:rPr>
          <w:rFonts w:hint="eastAsia"/>
        </w:rPr>
        <w:t>每周一</w:t>
      </w:r>
      <w:r w:rsidR="001F6E85">
        <w:rPr>
          <w:rFonts w:hint="eastAsia"/>
        </w:rPr>
        <w:t>全院通告</w:t>
      </w:r>
      <w:r>
        <w:rPr>
          <w:rFonts w:hint="eastAsia"/>
        </w:rPr>
        <w:t>结案率、归档数、发改案件统计、超过1年半以上未结案件、超过1年以上未结案件</w:t>
      </w:r>
      <w:r w:rsidR="001F6E85">
        <w:rPr>
          <w:rFonts w:hint="eastAsia"/>
        </w:rPr>
        <w:t>等情况，让法官、负责人、主管院长掌握本部门不足之处，及时</w:t>
      </w:r>
      <w:r w:rsidR="00D95A36">
        <w:rPr>
          <w:rFonts w:hint="eastAsia"/>
        </w:rPr>
        <w:t>更正与补强</w:t>
      </w:r>
      <w:r w:rsidR="001F6E85">
        <w:rPr>
          <w:rFonts w:hint="eastAsia"/>
        </w:rPr>
        <w:t>，使得和龙</w:t>
      </w:r>
      <w:r w:rsidR="005F1DC2">
        <w:rPr>
          <w:rFonts w:hint="eastAsia"/>
        </w:rPr>
        <w:t>市人民</w:t>
      </w:r>
      <w:r w:rsidR="001F6E85">
        <w:rPr>
          <w:rFonts w:hint="eastAsia"/>
        </w:rPr>
        <w:t>法院各项数据保持平稳态势。</w:t>
      </w:r>
    </w:p>
    <w:p w:rsidR="00C96289" w:rsidRPr="00C96289" w:rsidRDefault="001F6E85" w:rsidP="00821A47">
      <w:pPr>
        <w:snapToGrid w:val="0"/>
        <w:spacing w:line="580" w:lineRule="exact"/>
        <w:ind w:firstLineChars="251" w:firstLine="806"/>
      </w:pPr>
      <w:r w:rsidRPr="00821A47">
        <w:rPr>
          <w:rFonts w:hint="eastAsia"/>
          <w:b/>
        </w:rPr>
        <w:t>（四）多项举措做好裁判文书上网工作，保证民族语言裁判文书上网质量</w:t>
      </w:r>
      <w:r>
        <w:rPr>
          <w:rFonts w:hint="eastAsia"/>
        </w:rPr>
        <w:t>。2014年1月1日起开始裁判文书上网工作以来，和龙</w:t>
      </w:r>
      <w:r w:rsidR="00004462">
        <w:rPr>
          <w:rFonts w:hint="eastAsia"/>
        </w:rPr>
        <w:t>市人民</w:t>
      </w:r>
      <w:r>
        <w:rPr>
          <w:rFonts w:hint="eastAsia"/>
        </w:rPr>
        <w:t>法院安排专人负责此项工作，严格把关办案人从办案系统中公开裁判文书，保证吉林省司法公开网的裁判文</w:t>
      </w:r>
      <w:r>
        <w:rPr>
          <w:rFonts w:hint="eastAsia"/>
        </w:rPr>
        <w:lastRenderedPageBreak/>
        <w:t>书公开工作以外，专人专门负责将裁判文书上传至中国裁判文书网，保证了吉林省司法公开网与中国裁判文书网的裁判文书的同步性，并且要求不公开裁判文书案件每件填写不公开裁判文书审批表，由庭长、主管院长审批以后方能不公开裁判文书，和龙</w:t>
      </w:r>
      <w:r w:rsidR="00004462">
        <w:rPr>
          <w:rFonts w:hint="eastAsia"/>
        </w:rPr>
        <w:t>市人民</w:t>
      </w:r>
      <w:r>
        <w:rPr>
          <w:rFonts w:hint="eastAsia"/>
        </w:rPr>
        <w:t>法院也通过了双百要求。</w:t>
      </w:r>
      <w:r w:rsidRPr="00C96289">
        <w:rPr>
          <w:rFonts w:hint="eastAsia"/>
        </w:rPr>
        <w:t xml:space="preserve"> </w:t>
      </w:r>
      <w:r w:rsidR="00D95A36">
        <w:rPr>
          <w:rFonts w:hint="eastAsia"/>
        </w:rPr>
        <w:t>并且要求有少数民族参与的案件尽量</w:t>
      </w:r>
      <w:r w:rsidR="00004462">
        <w:rPr>
          <w:rFonts w:hint="eastAsia"/>
        </w:rPr>
        <w:t>使用</w:t>
      </w:r>
      <w:r w:rsidR="00D95A36">
        <w:rPr>
          <w:rFonts w:hint="eastAsia"/>
        </w:rPr>
        <w:t>本民族语言，安排少数民族法官及合议庭成员审理案件，方便当事人的同时，保证和龙</w:t>
      </w:r>
      <w:r w:rsidR="005F1DC2">
        <w:rPr>
          <w:rFonts w:hint="eastAsia"/>
        </w:rPr>
        <w:t>市人民</w:t>
      </w:r>
      <w:r w:rsidR="00D95A36">
        <w:rPr>
          <w:rFonts w:hint="eastAsia"/>
        </w:rPr>
        <w:t>法院少数民族裁判文书质量与数量。</w:t>
      </w:r>
    </w:p>
    <w:p w:rsidR="00FE68E0" w:rsidRPr="008007B2" w:rsidRDefault="008007B2" w:rsidP="001B5811">
      <w:pPr>
        <w:snapToGrid w:val="0"/>
        <w:spacing w:line="580" w:lineRule="exact"/>
        <w:ind w:firstLineChars="196" w:firstLine="630"/>
        <w:rPr>
          <w:rFonts w:ascii="黑体" w:eastAsia="黑体" w:hAnsi="黑体"/>
          <w:b/>
        </w:rPr>
      </w:pPr>
      <w:r w:rsidRPr="008007B2">
        <w:rPr>
          <w:rFonts w:ascii="黑体" w:eastAsia="黑体" w:hAnsi="黑体" w:hint="eastAsia"/>
          <w:b/>
        </w:rPr>
        <w:t>四、</w:t>
      </w:r>
      <w:r w:rsidR="00FE68E0" w:rsidRPr="008007B2">
        <w:rPr>
          <w:rFonts w:ascii="黑体" w:eastAsia="黑体" w:hAnsi="黑体" w:hint="eastAsia"/>
          <w:b/>
        </w:rPr>
        <w:t>审判工作中呈现的突出特点以及存在的问题</w:t>
      </w:r>
    </w:p>
    <w:p w:rsidR="00FE68E0" w:rsidRPr="00C61503" w:rsidRDefault="00FE68E0" w:rsidP="00821A47">
      <w:pPr>
        <w:snapToGrid w:val="0"/>
        <w:spacing w:line="580" w:lineRule="exact"/>
        <w:ind w:firstLine="588"/>
        <w:jc w:val="left"/>
        <w:rPr>
          <w:rFonts w:ascii="宋体" w:eastAsia="宋体" w:cs="宋体"/>
          <w:b/>
          <w:color w:val="000000"/>
        </w:rPr>
      </w:pPr>
      <w:r w:rsidRPr="00752FC7">
        <w:rPr>
          <w:rFonts w:ascii="宋体" w:eastAsia="宋体" w:cs="宋体" w:hint="eastAsia"/>
          <w:b/>
          <w:color w:val="000000"/>
        </w:rPr>
        <w:t>一是审判效率</w:t>
      </w:r>
      <w:r w:rsidR="00F34434" w:rsidRPr="00752FC7">
        <w:rPr>
          <w:rFonts w:ascii="宋体" w:eastAsia="宋体" w:cs="宋体" w:hint="eastAsia"/>
          <w:b/>
          <w:color w:val="000000"/>
        </w:rPr>
        <w:t>明显</w:t>
      </w:r>
      <w:r w:rsidR="00771484" w:rsidRPr="00752FC7">
        <w:rPr>
          <w:rFonts w:ascii="宋体" w:eastAsia="宋体" w:cs="宋体" w:hint="eastAsia"/>
          <w:b/>
          <w:color w:val="000000"/>
        </w:rPr>
        <w:t>下降</w:t>
      </w:r>
      <w:r w:rsidRPr="00752FC7">
        <w:rPr>
          <w:rFonts w:ascii="宋体" w:eastAsia="宋体" w:cs="宋体" w:hint="eastAsia"/>
          <w:b/>
          <w:color w:val="000000"/>
        </w:rPr>
        <w:t>，个别指标同比有所波动。</w:t>
      </w:r>
    </w:p>
    <w:p w:rsidR="00F36097" w:rsidRDefault="00636A9E" w:rsidP="00821A47">
      <w:pPr>
        <w:snapToGrid w:val="0"/>
        <w:spacing w:line="580" w:lineRule="exact"/>
        <w:ind w:firstLine="588"/>
        <w:jc w:val="left"/>
      </w:pPr>
      <w:r>
        <w:rPr>
          <w:rFonts w:hint="eastAsia"/>
        </w:rPr>
        <w:t>2017年</w:t>
      </w:r>
      <w:r w:rsidR="00752FC7">
        <w:rPr>
          <w:rFonts w:hint="eastAsia"/>
        </w:rPr>
        <w:t>三季度</w:t>
      </w:r>
      <w:r w:rsidR="00F34434">
        <w:rPr>
          <w:rFonts w:hint="eastAsia"/>
        </w:rPr>
        <w:t>和龙</w:t>
      </w:r>
      <w:r w:rsidR="005F1DC2">
        <w:rPr>
          <w:rFonts w:hint="eastAsia"/>
        </w:rPr>
        <w:t>市人民</w:t>
      </w:r>
      <w:r w:rsidR="00F34434">
        <w:rPr>
          <w:rFonts w:hint="eastAsia"/>
        </w:rPr>
        <w:t>法院</w:t>
      </w:r>
      <w:r w:rsidR="00FE68E0">
        <w:rPr>
          <w:rFonts w:hint="eastAsia"/>
        </w:rPr>
        <w:t>已结案件数</w:t>
      </w:r>
      <w:r w:rsidR="00F36097">
        <w:rPr>
          <w:rFonts w:hint="eastAsia"/>
        </w:rPr>
        <w:t>、人均结案数</w:t>
      </w:r>
      <w:r w:rsidR="00FE68E0">
        <w:rPr>
          <w:rFonts w:hint="eastAsia"/>
        </w:rPr>
        <w:t>和</w:t>
      </w:r>
      <w:r w:rsidR="00FE68E0" w:rsidRPr="00BD058B">
        <w:rPr>
          <w:rFonts w:hint="eastAsia"/>
        </w:rPr>
        <w:t>结案率</w:t>
      </w:r>
      <w:r w:rsidR="00FE68E0">
        <w:rPr>
          <w:rFonts w:hint="eastAsia"/>
        </w:rPr>
        <w:t>均比去年同期</w:t>
      </w:r>
      <w:r w:rsidR="00771484">
        <w:rPr>
          <w:rFonts w:hint="eastAsia"/>
        </w:rPr>
        <w:t>有明显</w:t>
      </w:r>
      <w:r w:rsidR="00544510">
        <w:rPr>
          <w:rFonts w:hint="eastAsia"/>
        </w:rPr>
        <w:t>上升</w:t>
      </w:r>
      <w:r w:rsidR="00FE68E0">
        <w:rPr>
          <w:rFonts w:hint="eastAsia"/>
        </w:rPr>
        <w:t>，</w:t>
      </w:r>
      <w:r w:rsidR="00F36097">
        <w:rPr>
          <w:rFonts w:hint="eastAsia"/>
        </w:rPr>
        <w:t>已结</w:t>
      </w:r>
      <w:r w:rsidR="00F34434">
        <w:rPr>
          <w:rFonts w:hint="eastAsia"/>
        </w:rPr>
        <w:t>案</w:t>
      </w:r>
      <w:r w:rsidR="00F36097">
        <w:rPr>
          <w:rFonts w:hint="eastAsia"/>
        </w:rPr>
        <w:t>件</w:t>
      </w:r>
      <w:r w:rsidR="00F34434">
        <w:rPr>
          <w:rFonts w:hint="eastAsia"/>
        </w:rPr>
        <w:t>数</w:t>
      </w:r>
      <w:r w:rsidR="00A865CC">
        <w:rPr>
          <w:rFonts w:hint="eastAsia"/>
        </w:rPr>
        <w:t>1</w:t>
      </w:r>
      <w:r w:rsidR="004F6570">
        <w:rPr>
          <w:rFonts w:hint="eastAsia"/>
        </w:rPr>
        <w:t>412</w:t>
      </w:r>
      <w:r w:rsidR="00F36097">
        <w:rPr>
          <w:rFonts w:hint="eastAsia"/>
        </w:rPr>
        <w:t>件，同比</w:t>
      </w:r>
      <w:r w:rsidR="00686542">
        <w:rPr>
          <w:rFonts w:hint="eastAsia"/>
        </w:rPr>
        <w:t>上升2</w:t>
      </w:r>
      <w:r w:rsidR="004F6570">
        <w:rPr>
          <w:rFonts w:hint="eastAsia"/>
        </w:rPr>
        <w:t>6.86</w:t>
      </w:r>
      <w:r w:rsidR="00F34434">
        <w:rPr>
          <w:rFonts w:hint="eastAsia"/>
        </w:rPr>
        <w:t>%，</w:t>
      </w:r>
      <w:r w:rsidR="00F36097">
        <w:rPr>
          <w:rFonts w:hint="eastAsia"/>
        </w:rPr>
        <w:t>人均结案数为</w:t>
      </w:r>
      <w:r w:rsidR="00752FC7">
        <w:rPr>
          <w:rFonts w:hint="eastAsia"/>
        </w:rPr>
        <w:t>56.48</w:t>
      </w:r>
      <w:r w:rsidR="00F36097">
        <w:rPr>
          <w:rFonts w:hint="eastAsia"/>
        </w:rPr>
        <w:t>件，同比</w:t>
      </w:r>
      <w:r w:rsidR="00F761A9">
        <w:rPr>
          <w:rFonts w:hint="eastAsia"/>
        </w:rPr>
        <w:t>上升4</w:t>
      </w:r>
      <w:r w:rsidR="00752FC7">
        <w:rPr>
          <w:rFonts w:hint="eastAsia"/>
        </w:rPr>
        <w:t>2.09</w:t>
      </w:r>
      <w:r w:rsidR="00F36097">
        <w:rPr>
          <w:rFonts w:hint="eastAsia"/>
        </w:rPr>
        <w:t>%，结案率</w:t>
      </w:r>
      <w:r w:rsidR="00F761A9">
        <w:rPr>
          <w:rFonts w:hint="eastAsia"/>
        </w:rPr>
        <w:t>7</w:t>
      </w:r>
      <w:r w:rsidR="00752FC7">
        <w:rPr>
          <w:rFonts w:hint="eastAsia"/>
        </w:rPr>
        <w:t>1.42</w:t>
      </w:r>
      <w:r w:rsidR="00F36097">
        <w:rPr>
          <w:rFonts w:hint="eastAsia"/>
        </w:rPr>
        <w:t>%</w:t>
      </w:r>
      <w:r w:rsidR="00004462">
        <w:rPr>
          <w:rFonts w:hint="eastAsia"/>
        </w:rPr>
        <w:t>，</w:t>
      </w:r>
      <w:r w:rsidR="00F36097">
        <w:rPr>
          <w:rFonts w:hint="eastAsia"/>
        </w:rPr>
        <w:t>同比</w:t>
      </w:r>
      <w:r w:rsidR="00F761A9">
        <w:rPr>
          <w:rFonts w:hint="eastAsia"/>
        </w:rPr>
        <w:t>上升</w:t>
      </w:r>
      <w:r w:rsidR="00752FC7">
        <w:rPr>
          <w:rFonts w:hint="eastAsia"/>
        </w:rPr>
        <w:t>6.14</w:t>
      </w:r>
      <w:r w:rsidR="00F34434">
        <w:rPr>
          <w:rFonts w:hint="eastAsia"/>
        </w:rPr>
        <w:t>个百分点</w:t>
      </w:r>
      <w:r w:rsidR="00F36097">
        <w:rPr>
          <w:rFonts w:hint="eastAsia"/>
        </w:rPr>
        <w:t>。</w:t>
      </w:r>
      <w:r w:rsidR="00FE68E0">
        <w:rPr>
          <w:rFonts w:hint="eastAsia"/>
        </w:rPr>
        <w:t>个别指标同比有所波动，</w:t>
      </w:r>
      <w:r w:rsidR="0075168E">
        <w:rPr>
          <w:rFonts w:hint="eastAsia"/>
        </w:rPr>
        <w:t>长期未结案件</w:t>
      </w:r>
      <w:r w:rsidR="006060C6">
        <w:rPr>
          <w:rFonts w:hint="eastAsia"/>
        </w:rPr>
        <w:t>0</w:t>
      </w:r>
      <w:r w:rsidR="0075168E">
        <w:rPr>
          <w:rFonts w:hint="eastAsia"/>
        </w:rPr>
        <w:t>件，</w:t>
      </w:r>
      <w:r w:rsidR="00FE68E0">
        <w:rPr>
          <w:rFonts w:hint="eastAsia"/>
        </w:rPr>
        <w:t>长期未结率为</w:t>
      </w:r>
      <w:r w:rsidR="006060C6">
        <w:rPr>
          <w:rFonts w:hint="eastAsia"/>
        </w:rPr>
        <w:t>0</w:t>
      </w:r>
      <w:r w:rsidR="00FE68E0">
        <w:rPr>
          <w:rFonts w:hint="eastAsia"/>
        </w:rPr>
        <w:t>%</w:t>
      </w:r>
      <w:r w:rsidR="00F36097">
        <w:rPr>
          <w:rFonts w:hint="eastAsia"/>
        </w:rPr>
        <w:t>；</w:t>
      </w:r>
      <w:r w:rsidR="00FE68E0" w:rsidRPr="00F36097">
        <w:rPr>
          <w:rFonts w:hint="eastAsia"/>
        </w:rPr>
        <w:t>四类案件未结指数</w:t>
      </w:r>
      <w:r w:rsidR="00B15C1E">
        <w:rPr>
          <w:rFonts w:hint="eastAsia"/>
        </w:rPr>
        <w:t>0.</w:t>
      </w:r>
      <w:r w:rsidR="002A69CD">
        <w:rPr>
          <w:rFonts w:hint="eastAsia"/>
        </w:rPr>
        <w:t>2</w:t>
      </w:r>
      <w:r w:rsidR="00752FC7">
        <w:rPr>
          <w:rFonts w:hint="eastAsia"/>
        </w:rPr>
        <w:t>6</w:t>
      </w:r>
      <w:r w:rsidR="00F36097">
        <w:rPr>
          <w:rFonts w:hint="eastAsia"/>
        </w:rPr>
        <w:t>同</w:t>
      </w:r>
      <w:r w:rsidR="00B15C1E">
        <w:rPr>
          <w:rFonts w:hint="eastAsia"/>
        </w:rPr>
        <w:t>比下降</w:t>
      </w:r>
      <w:r w:rsidR="002A5367">
        <w:rPr>
          <w:rFonts w:hint="eastAsia"/>
        </w:rPr>
        <w:t>0.</w:t>
      </w:r>
      <w:r w:rsidR="006D4EF5">
        <w:rPr>
          <w:rFonts w:hint="eastAsia"/>
        </w:rPr>
        <w:t>0</w:t>
      </w:r>
      <w:r w:rsidR="00752FC7">
        <w:rPr>
          <w:rFonts w:hint="eastAsia"/>
        </w:rPr>
        <w:t>4</w:t>
      </w:r>
      <w:r w:rsidR="002A5367">
        <w:rPr>
          <w:rFonts w:hint="eastAsia"/>
        </w:rPr>
        <w:t>；</w:t>
      </w:r>
      <w:r w:rsidR="00284E77">
        <w:rPr>
          <w:rFonts w:hint="eastAsia"/>
        </w:rPr>
        <w:t>超期结案</w:t>
      </w:r>
      <w:r w:rsidR="002A5367">
        <w:rPr>
          <w:rFonts w:hint="eastAsia"/>
        </w:rPr>
        <w:t>案件1件，超期结案率0.1</w:t>
      </w:r>
      <w:r w:rsidR="00752FC7">
        <w:rPr>
          <w:rFonts w:hint="eastAsia"/>
        </w:rPr>
        <w:t>0</w:t>
      </w:r>
      <w:r w:rsidR="002A5367">
        <w:rPr>
          <w:rFonts w:hint="eastAsia"/>
        </w:rPr>
        <w:t>，</w:t>
      </w:r>
      <w:r w:rsidR="00284E77">
        <w:rPr>
          <w:rFonts w:hint="eastAsia"/>
        </w:rPr>
        <w:t>延长审限未结、超期未结案件</w:t>
      </w:r>
      <w:r w:rsidR="00352350" w:rsidRPr="00124FA7">
        <w:rPr>
          <w:rFonts w:hint="eastAsia"/>
        </w:rPr>
        <w:t>为零</w:t>
      </w:r>
      <w:r w:rsidR="00284E77">
        <w:rPr>
          <w:rFonts w:hint="eastAsia"/>
        </w:rPr>
        <w:t>。</w:t>
      </w:r>
    </w:p>
    <w:p w:rsidR="00FE68E0" w:rsidRPr="00C61503" w:rsidRDefault="00004462" w:rsidP="00821A47">
      <w:pPr>
        <w:snapToGrid w:val="0"/>
        <w:spacing w:line="580" w:lineRule="exact"/>
        <w:ind w:firstLine="588"/>
        <w:jc w:val="left"/>
        <w:rPr>
          <w:rFonts w:ascii="宋体" w:eastAsia="宋体" w:cs="宋体"/>
          <w:b/>
          <w:color w:val="000000"/>
        </w:rPr>
      </w:pPr>
      <w:r w:rsidRPr="00752FC7">
        <w:rPr>
          <w:rFonts w:ascii="宋体" w:eastAsia="宋体" w:cs="宋体" w:hint="eastAsia"/>
          <w:b/>
          <w:color w:val="000000"/>
        </w:rPr>
        <w:t>二是审判公正、效果方面</w:t>
      </w:r>
      <w:r w:rsidR="00736C39" w:rsidRPr="00752FC7">
        <w:rPr>
          <w:rFonts w:ascii="宋体" w:eastAsia="宋体" w:cs="宋体" w:hint="eastAsia"/>
          <w:b/>
          <w:color w:val="000000"/>
        </w:rPr>
        <w:t>保持较平稳水平</w:t>
      </w:r>
      <w:r w:rsidR="00FE68E0" w:rsidRPr="00C61503">
        <w:rPr>
          <w:rFonts w:ascii="宋体" w:eastAsia="宋体" w:cs="宋体" w:hint="eastAsia"/>
          <w:b/>
          <w:color w:val="000000"/>
        </w:rPr>
        <w:t>。</w:t>
      </w:r>
    </w:p>
    <w:p w:rsidR="007A1A73" w:rsidRPr="00F130AA" w:rsidRDefault="00636A9E" w:rsidP="00F130AA">
      <w:pPr>
        <w:snapToGrid w:val="0"/>
        <w:spacing w:line="580" w:lineRule="exact"/>
        <w:ind w:firstLineChars="200" w:firstLine="640"/>
      </w:pPr>
      <w:r>
        <w:rPr>
          <w:rFonts w:hint="eastAsia"/>
        </w:rPr>
        <w:t>2017年</w:t>
      </w:r>
      <w:r w:rsidR="00542944">
        <w:rPr>
          <w:rFonts w:hint="eastAsia"/>
        </w:rPr>
        <w:t>三季度</w:t>
      </w:r>
      <w:r w:rsidR="00FE68E0">
        <w:rPr>
          <w:rFonts w:hint="eastAsia"/>
        </w:rPr>
        <w:t>和龙市</w:t>
      </w:r>
      <w:r w:rsidR="005F1DC2">
        <w:rPr>
          <w:rFonts w:hint="eastAsia"/>
        </w:rPr>
        <w:t>人民</w:t>
      </w:r>
      <w:r w:rsidR="00FE68E0">
        <w:rPr>
          <w:rFonts w:hint="eastAsia"/>
        </w:rPr>
        <w:t>法院一审判决案件被改判发回重审率为</w:t>
      </w:r>
      <w:r w:rsidR="00752FC7">
        <w:rPr>
          <w:rFonts w:hint="eastAsia"/>
        </w:rPr>
        <w:t>3.08</w:t>
      </w:r>
      <w:r w:rsidR="00FE68E0">
        <w:rPr>
          <w:rFonts w:hint="eastAsia"/>
        </w:rPr>
        <w:t>%，同比去年下降</w:t>
      </w:r>
      <w:r w:rsidR="009B546F">
        <w:rPr>
          <w:rFonts w:hint="eastAsia"/>
        </w:rPr>
        <w:t>0.</w:t>
      </w:r>
      <w:r w:rsidR="00752FC7">
        <w:rPr>
          <w:rFonts w:hint="eastAsia"/>
        </w:rPr>
        <w:t>45</w:t>
      </w:r>
      <w:r w:rsidR="00FE68E0">
        <w:rPr>
          <w:rFonts w:hint="eastAsia"/>
        </w:rPr>
        <w:t>个百分点。一审判决案件被改判发回重审率</w:t>
      </w:r>
      <w:r w:rsidR="00E41928">
        <w:rPr>
          <w:rFonts w:hint="eastAsia"/>
        </w:rPr>
        <w:t>、被改判案件数，被发回案件数均</w:t>
      </w:r>
      <w:r w:rsidR="00FE68E0">
        <w:rPr>
          <w:rFonts w:hint="eastAsia"/>
        </w:rPr>
        <w:t>有所下降，生效案件改判发回重审率为0</w:t>
      </w:r>
      <w:r w:rsidR="00E41928">
        <w:rPr>
          <w:rFonts w:hint="eastAsia"/>
        </w:rPr>
        <w:t>.</w:t>
      </w:r>
      <w:r w:rsidR="00752FC7">
        <w:rPr>
          <w:rFonts w:hint="eastAsia"/>
        </w:rPr>
        <w:t>32</w:t>
      </w:r>
      <w:r w:rsidR="00FE68E0">
        <w:rPr>
          <w:rFonts w:hint="eastAsia"/>
        </w:rPr>
        <w:t>%，同比</w:t>
      </w:r>
      <w:r w:rsidR="00752FC7">
        <w:rPr>
          <w:rFonts w:hint="eastAsia"/>
        </w:rPr>
        <w:t>上升0.26</w:t>
      </w:r>
      <w:r w:rsidR="00FE68E0">
        <w:rPr>
          <w:rFonts w:hint="eastAsia"/>
        </w:rPr>
        <w:t>个百分点。调解率、撤诉率</w:t>
      </w:r>
      <w:r w:rsidR="00F130AA">
        <w:rPr>
          <w:rFonts w:hint="eastAsia"/>
        </w:rPr>
        <w:t>与去年</w:t>
      </w:r>
      <w:r w:rsidR="00F91C91">
        <w:rPr>
          <w:rFonts w:hint="eastAsia"/>
        </w:rPr>
        <w:t>有所上升</w:t>
      </w:r>
      <w:r w:rsidR="00FE68E0">
        <w:rPr>
          <w:rFonts w:hint="eastAsia"/>
        </w:rPr>
        <w:t>，这几个指标说明审判</w:t>
      </w:r>
      <w:r w:rsidR="00F130AA">
        <w:rPr>
          <w:rFonts w:hint="eastAsia"/>
        </w:rPr>
        <w:t>效果保</w:t>
      </w:r>
      <w:r w:rsidR="00F130AA">
        <w:rPr>
          <w:rFonts w:hint="eastAsia"/>
        </w:rPr>
        <w:lastRenderedPageBreak/>
        <w:t>持较平稳水平</w:t>
      </w:r>
      <w:r w:rsidR="00FE68E0">
        <w:rPr>
          <w:rFonts w:hint="eastAsia"/>
        </w:rPr>
        <w:t>。</w:t>
      </w:r>
    </w:p>
    <w:p w:rsidR="00FE68E0" w:rsidRPr="00F82BAD" w:rsidRDefault="00FE68E0" w:rsidP="00821A47">
      <w:pPr>
        <w:snapToGrid w:val="0"/>
        <w:spacing w:line="580" w:lineRule="exact"/>
        <w:ind w:firstLineChars="200" w:firstLine="643"/>
        <w:rPr>
          <w:rFonts w:ascii="宋体" w:eastAsia="宋体" w:cs="宋体"/>
          <w:b/>
          <w:color w:val="000000"/>
        </w:rPr>
      </w:pPr>
      <w:r w:rsidRPr="00F82BAD">
        <w:rPr>
          <w:rFonts w:ascii="宋体" w:eastAsia="宋体" w:cs="宋体" w:hint="eastAsia"/>
          <w:b/>
          <w:color w:val="000000"/>
        </w:rPr>
        <w:t>三是电子法院运用情况</w:t>
      </w:r>
      <w:r w:rsidR="00110C56">
        <w:rPr>
          <w:rFonts w:ascii="宋体" w:eastAsia="宋体" w:cs="宋体" w:hint="eastAsia"/>
          <w:b/>
          <w:color w:val="000000"/>
        </w:rPr>
        <w:t>不佳</w:t>
      </w:r>
      <w:r w:rsidRPr="00F82BAD">
        <w:rPr>
          <w:rFonts w:ascii="宋体" w:eastAsia="宋体" w:cs="宋体" w:hint="eastAsia"/>
          <w:b/>
          <w:color w:val="000000"/>
        </w:rPr>
        <w:t>。</w:t>
      </w:r>
    </w:p>
    <w:p w:rsidR="00F130AA" w:rsidRDefault="00920187" w:rsidP="00920187">
      <w:pPr>
        <w:snapToGrid w:val="0"/>
        <w:spacing w:line="360" w:lineRule="auto"/>
        <w:ind w:firstLine="645"/>
        <w:rPr>
          <w:color w:val="000000"/>
        </w:rPr>
      </w:pPr>
      <w:r>
        <w:rPr>
          <w:rFonts w:hint="eastAsia"/>
          <w:color w:val="000000"/>
        </w:rPr>
        <w:t>2017年</w:t>
      </w:r>
      <w:r w:rsidR="00542944">
        <w:rPr>
          <w:rFonts w:hint="eastAsia"/>
          <w:color w:val="000000"/>
        </w:rPr>
        <w:t>三季度</w:t>
      </w:r>
      <w:r>
        <w:rPr>
          <w:rFonts w:hint="eastAsia"/>
          <w:color w:val="000000"/>
        </w:rPr>
        <w:t>和龙市人民法院网上立案</w:t>
      </w:r>
      <w:r w:rsidR="00D90519">
        <w:rPr>
          <w:rFonts w:hint="eastAsia"/>
          <w:color w:val="000000"/>
        </w:rPr>
        <w:t>832</w:t>
      </w:r>
      <w:r w:rsidRPr="00AF410E">
        <w:rPr>
          <w:rFonts w:hint="eastAsia"/>
          <w:color w:val="000000"/>
        </w:rPr>
        <w:t>件，网上交费</w:t>
      </w:r>
      <w:r>
        <w:rPr>
          <w:rFonts w:hint="eastAsia"/>
          <w:color w:val="000000"/>
        </w:rPr>
        <w:t>81件，</w:t>
      </w:r>
      <w:r w:rsidRPr="00AF410E">
        <w:rPr>
          <w:rFonts w:hint="eastAsia"/>
          <w:color w:val="000000"/>
        </w:rPr>
        <w:t>电子送达</w:t>
      </w:r>
      <w:r>
        <w:rPr>
          <w:rFonts w:hint="eastAsia"/>
          <w:color w:val="000000"/>
        </w:rPr>
        <w:t>3</w:t>
      </w:r>
      <w:r w:rsidR="00D90519">
        <w:rPr>
          <w:rFonts w:hint="eastAsia"/>
          <w:color w:val="000000"/>
        </w:rPr>
        <w:t>20</w:t>
      </w:r>
      <w:r>
        <w:rPr>
          <w:rFonts w:hint="eastAsia"/>
          <w:color w:val="000000"/>
        </w:rPr>
        <w:t>件，审诉辩3件，</w:t>
      </w:r>
      <w:r w:rsidRPr="00AF410E">
        <w:rPr>
          <w:rFonts w:hint="eastAsia"/>
          <w:color w:val="000000"/>
        </w:rPr>
        <w:t>云会议</w:t>
      </w:r>
      <w:r w:rsidR="00D90519">
        <w:rPr>
          <w:rFonts w:hint="eastAsia"/>
          <w:color w:val="000000"/>
        </w:rPr>
        <w:t>6件</w:t>
      </w:r>
      <w:r>
        <w:rPr>
          <w:rFonts w:hint="eastAsia"/>
          <w:color w:val="000000"/>
        </w:rPr>
        <w:t>、</w:t>
      </w:r>
      <w:r w:rsidR="00D90519" w:rsidRPr="00AF410E">
        <w:rPr>
          <w:rFonts w:hint="eastAsia"/>
          <w:color w:val="000000"/>
        </w:rPr>
        <w:t>网上阅卷</w:t>
      </w:r>
      <w:r w:rsidR="00D90519">
        <w:rPr>
          <w:rFonts w:hint="eastAsia"/>
          <w:color w:val="000000"/>
        </w:rPr>
        <w:t>、</w:t>
      </w:r>
      <w:r w:rsidRPr="00AF410E">
        <w:rPr>
          <w:rFonts w:hint="eastAsia"/>
          <w:color w:val="000000"/>
        </w:rPr>
        <w:t>证据交换</w:t>
      </w:r>
      <w:r>
        <w:rPr>
          <w:rFonts w:hint="eastAsia"/>
          <w:color w:val="000000"/>
        </w:rPr>
        <w:t>均未应用。</w:t>
      </w:r>
      <w:r w:rsidR="00B0045E">
        <w:rPr>
          <w:rFonts w:hint="eastAsia"/>
          <w:color w:val="000000"/>
        </w:rPr>
        <w:t>法官</w:t>
      </w:r>
      <w:r w:rsidR="001534F6">
        <w:rPr>
          <w:rFonts w:hint="eastAsia"/>
          <w:color w:val="000000"/>
        </w:rPr>
        <w:t>影</w:t>
      </w:r>
      <w:r w:rsidR="00B0045E">
        <w:rPr>
          <w:rFonts w:hint="eastAsia"/>
          <w:color w:val="000000"/>
        </w:rPr>
        <w:t>主动适用电子法院功能，但</w:t>
      </w:r>
      <w:r w:rsidR="006079EA">
        <w:rPr>
          <w:rFonts w:hint="eastAsia"/>
          <w:color w:val="000000"/>
        </w:rPr>
        <w:t>尚未</w:t>
      </w:r>
      <w:r w:rsidR="006E6B72">
        <w:rPr>
          <w:rFonts w:hint="eastAsia"/>
          <w:color w:val="000000"/>
        </w:rPr>
        <w:t>运用</w:t>
      </w:r>
      <w:r w:rsidR="00B0045E">
        <w:rPr>
          <w:rFonts w:hint="eastAsia"/>
          <w:color w:val="000000"/>
        </w:rPr>
        <w:t>证据交换</w:t>
      </w:r>
      <w:r w:rsidR="006079EA">
        <w:rPr>
          <w:rFonts w:hint="eastAsia"/>
          <w:color w:val="000000"/>
        </w:rPr>
        <w:t>功能</w:t>
      </w:r>
      <w:r w:rsidR="00B0045E">
        <w:rPr>
          <w:rFonts w:hint="eastAsia"/>
          <w:color w:val="000000"/>
        </w:rPr>
        <w:t>，</w:t>
      </w:r>
      <w:r w:rsidR="00004462">
        <w:rPr>
          <w:rFonts w:hint="eastAsia"/>
          <w:color w:val="000000"/>
        </w:rPr>
        <w:t>法官应该更加能动</w:t>
      </w:r>
      <w:r w:rsidR="006E6B72">
        <w:rPr>
          <w:rFonts w:hint="eastAsia"/>
          <w:color w:val="000000"/>
        </w:rPr>
        <w:t>地运用电子法院，方便当事人</w:t>
      </w:r>
      <w:r w:rsidR="006079EA">
        <w:rPr>
          <w:rFonts w:hint="eastAsia"/>
          <w:color w:val="000000"/>
        </w:rPr>
        <w:t>。</w:t>
      </w:r>
    </w:p>
    <w:p w:rsidR="006079EA" w:rsidRDefault="006079EA" w:rsidP="001B5811">
      <w:pPr>
        <w:snapToGrid w:val="0"/>
        <w:spacing w:line="580" w:lineRule="exact"/>
        <w:ind w:firstLineChars="196" w:firstLine="630"/>
        <w:rPr>
          <w:rFonts w:ascii="宋体" w:eastAsia="宋体" w:cs="宋体"/>
          <w:b/>
          <w:color w:val="000000"/>
        </w:rPr>
      </w:pPr>
      <w:r w:rsidRPr="0008268F">
        <w:rPr>
          <w:rFonts w:ascii="宋体" w:eastAsia="宋体" w:cs="宋体" w:hint="eastAsia"/>
          <w:b/>
          <w:color w:val="000000"/>
        </w:rPr>
        <w:t>四是已结案件归档</w:t>
      </w:r>
      <w:r w:rsidR="00044B21">
        <w:rPr>
          <w:rFonts w:ascii="宋体" w:eastAsia="宋体" w:cs="宋体" w:hint="eastAsia"/>
          <w:b/>
          <w:color w:val="000000"/>
        </w:rPr>
        <w:t>工作效率不高。</w:t>
      </w:r>
    </w:p>
    <w:p w:rsidR="001B5811" w:rsidRPr="00920187" w:rsidRDefault="00920187" w:rsidP="00920187">
      <w:pPr>
        <w:snapToGrid w:val="0"/>
        <w:spacing w:line="580" w:lineRule="exact"/>
        <w:ind w:firstLineChars="196" w:firstLine="627"/>
        <w:rPr>
          <w:rFonts w:ascii="宋体" w:eastAsia="宋体" w:cs="宋体"/>
          <w:b/>
          <w:color w:val="000000"/>
        </w:rPr>
      </w:pPr>
      <w:r>
        <w:rPr>
          <w:rFonts w:hint="eastAsia"/>
          <w:color w:val="000000"/>
        </w:rPr>
        <w:t>2017年</w:t>
      </w:r>
      <w:r w:rsidR="00D90519">
        <w:rPr>
          <w:rFonts w:hint="eastAsia"/>
          <w:color w:val="000000"/>
        </w:rPr>
        <w:t>三季度</w:t>
      </w:r>
      <w:r>
        <w:rPr>
          <w:rFonts w:hint="eastAsia"/>
        </w:rPr>
        <w:t>和龙市人民法院共审（执）结刑事、民事、行政、赔偿、执行、审查监督案件应归档的案件1</w:t>
      </w:r>
      <w:r w:rsidR="00D90519">
        <w:rPr>
          <w:rFonts w:hint="eastAsia"/>
        </w:rPr>
        <w:t>412</w:t>
      </w:r>
      <w:r>
        <w:rPr>
          <w:rFonts w:hint="eastAsia"/>
        </w:rPr>
        <w:t>件，已归档案件</w:t>
      </w:r>
      <w:r w:rsidR="00D90519">
        <w:rPr>
          <w:rFonts w:hint="eastAsia"/>
        </w:rPr>
        <w:t>1066</w:t>
      </w:r>
      <w:r>
        <w:rPr>
          <w:rFonts w:hint="eastAsia"/>
        </w:rPr>
        <w:t>件，</w:t>
      </w:r>
      <w:r w:rsidR="0008268F">
        <w:rPr>
          <w:rFonts w:hint="eastAsia"/>
          <w:color w:val="000000"/>
        </w:rPr>
        <w:t>未归档案件</w:t>
      </w:r>
      <w:r w:rsidR="00D90519">
        <w:rPr>
          <w:rFonts w:hint="eastAsia"/>
          <w:color w:val="000000"/>
        </w:rPr>
        <w:t>345</w:t>
      </w:r>
      <w:r w:rsidR="0008268F">
        <w:rPr>
          <w:rFonts w:hint="eastAsia"/>
          <w:color w:val="000000"/>
        </w:rPr>
        <w:t>件，</w:t>
      </w:r>
      <w:r w:rsidR="00671518">
        <w:rPr>
          <w:rFonts w:hint="eastAsia"/>
          <w:color w:val="000000"/>
        </w:rPr>
        <w:t>其中</w:t>
      </w:r>
      <w:r w:rsidR="00A60D67">
        <w:rPr>
          <w:rFonts w:hint="eastAsia"/>
          <w:color w:val="000000"/>
        </w:rPr>
        <w:t>刑事案件未归档</w:t>
      </w:r>
      <w:r w:rsidR="00D90519">
        <w:rPr>
          <w:rFonts w:hint="eastAsia"/>
          <w:color w:val="000000"/>
        </w:rPr>
        <w:t>2</w:t>
      </w:r>
      <w:r w:rsidR="009C5CE0">
        <w:rPr>
          <w:rFonts w:hint="eastAsia"/>
          <w:color w:val="000000"/>
        </w:rPr>
        <w:t>3</w:t>
      </w:r>
      <w:r w:rsidR="00A60D67">
        <w:rPr>
          <w:rFonts w:hint="eastAsia"/>
          <w:color w:val="000000"/>
        </w:rPr>
        <w:t>件，民事案件未归档</w:t>
      </w:r>
      <w:r w:rsidR="00D90519">
        <w:rPr>
          <w:rFonts w:hint="eastAsia"/>
          <w:color w:val="000000"/>
        </w:rPr>
        <w:t>125</w:t>
      </w:r>
      <w:r w:rsidR="00A60D67">
        <w:rPr>
          <w:rFonts w:hint="eastAsia"/>
          <w:color w:val="000000"/>
        </w:rPr>
        <w:t>件</w:t>
      </w:r>
      <w:r w:rsidR="001534F6">
        <w:rPr>
          <w:rFonts w:hint="eastAsia"/>
          <w:color w:val="000000"/>
        </w:rPr>
        <w:t>，</w:t>
      </w:r>
      <w:r w:rsidR="009C5CE0">
        <w:rPr>
          <w:rFonts w:hint="eastAsia"/>
          <w:color w:val="000000"/>
        </w:rPr>
        <w:t>行政案件未归档</w:t>
      </w:r>
      <w:r w:rsidR="00542944">
        <w:rPr>
          <w:rFonts w:hint="eastAsia"/>
          <w:color w:val="000000"/>
        </w:rPr>
        <w:t>6</w:t>
      </w:r>
      <w:r w:rsidR="009C5CE0">
        <w:rPr>
          <w:rFonts w:hint="eastAsia"/>
          <w:color w:val="000000"/>
        </w:rPr>
        <w:t>件，</w:t>
      </w:r>
      <w:r w:rsidR="00A60D67">
        <w:rPr>
          <w:rFonts w:hint="eastAsia"/>
          <w:color w:val="000000"/>
        </w:rPr>
        <w:t>执行案件未归档</w:t>
      </w:r>
      <w:r w:rsidR="009C5CE0">
        <w:rPr>
          <w:rFonts w:hint="eastAsia"/>
          <w:color w:val="000000"/>
        </w:rPr>
        <w:t>1</w:t>
      </w:r>
      <w:r w:rsidR="00D90519">
        <w:rPr>
          <w:rFonts w:hint="eastAsia"/>
          <w:color w:val="000000"/>
        </w:rPr>
        <w:t>91</w:t>
      </w:r>
      <w:r w:rsidR="00A60D67">
        <w:rPr>
          <w:rFonts w:hint="eastAsia"/>
          <w:color w:val="000000"/>
        </w:rPr>
        <w:t>件，</w:t>
      </w:r>
      <w:r w:rsidR="003872B8">
        <w:rPr>
          <w:rFonts w:hint="eastAsia"/>
          <w:color w:val="000000"/>
        </w:rPr>
        <w:t>未归档案件承办人应积极及时进行归档。</w:t>
      </w:r>
    </w:p>
    <w:p w:rsidR="000F5790" w:rsidRPr="001B5811" w:rsidRDefault="006079EA" w:rsidP="001B5811">
      <w:pPr>
        <w:snapToGrid w:val="0"/>
        <w:spacing w:line="580" w:lineRule="exact"/>
        <w:ind w:firstLine="645"/>
        <w:rPr>
          <w:color w:val="000000"/>
        </w:rPr>
      </w:pPr>
      <w:r>
        <w:rPr>
          <w:rFonts w:ascii="黑体" w:eastAsia="黑体" w:hint="eastAsia"/>
          <w:b/>
          <w:color w:val="000000"/>
        </w:rPr>
        <w:t>五</w:t>
      </w:r>
      <w:r w:rsidR="000F5790" w:rsidRPr="004F5B78">
        <w:rPr>
          <w:rFonts w:ascii="黑体" w:eastAsia="黑体" w:hint="eastAsia"/>
          <w:b/>
          <w:color w:val="000000"/>
        </w:rPr>
        <w:t>、下一步工作</w:t>
      </w:r>
      <w:r w:rsidR="008007B2">
        <w:rPr>
          <w:rFonts w:ascii="黑体" w:eastAsia="黑体" w:hint="eastAsia"/>
          <w:b/>
          <w:color w:val="000000"/>
        </w:rPr>
        <w:t>打算</w:t>
      </w:r>
    </w:p>
    <w:p w:rsidR="00393CDA" w:rsidRPr="00393CDA" w:rsidRDefault="00393CDA" w:rsidP="00393CDA">
      <w:pPr>
        <w:snapToGrid w:val="0"/>
        <w:spacing w:line="580" w:lineRule="exact"/>
        <w:ind w:firstLine="645"/>
        <w:rPr>
          <w:color w:val="000000"/>
        </w:rPr>
      </w:pPr>
      <w:r w:rsidRPr="00393CDA">
        <w:rPr>
          <w:rFonts w:hint="eastAsia"/>
          <w:color w:val="000000"/>
        </w:rPr>
        <w:t>根据</w:t>
      </w:r>
      <w:r w:rsidR="00AC56F3">
        <w:rPr>
          <w:rFonts w:hint="eastAsia"/>
          <w:color w:val="000000"/>
        </w:rPr>
        <w:t>省高院关于进一步创新和加强审判管理工作全面提升审判管理法治化、精细化、信息化水平的要求。</w:t>
      </w:r>
      <w:r w:rsidRPr="00393CDA">
        <w:rPr>
          <w:rFonts w:hint="eastAsia"/>
          <w:color w:val="000000"/>
        </w:rPr>
        <w:t>我院在2017年工作中将加强审判态势分析工作，每一季度向院党组汇报我院、中院和省院审判运行态势工作，作出前瞻性预判，为院领导科学决策提供依据；认真做好均衡结案工作，加强审判效率管理，积极缩短案件的审理周期，</w:t>
      </w:r>
      <w:r w:rsidR="00352350">
        <w:rPr>
          <w:rFonts w:hint="eastAsia"/>
          <w:color w:val="000000"/>
        </w:rPr>
        <w:t>合理利用时间</w:t>
      </w:r>
      <w:r w:rsidRPr="00393CDA">
        <w:rPr>
          <w:rFonts w:hint="eastAsia"/>
          <w:color w:val="000000"/>
        </w:rPr>
        <w:t>，集中审结</w:t>
      </w:r>
      <w:r w:rsidR="00636A9E">
        <w:rPr>
          <w:color w:val="000000"/>
        </w:rPr>
        <w:t>201</w:t>
      </w:r>
      <w:r w:rsidR="00D60C02">
        <w:rPr>
          <w:rFonts w:hint="eastAsia"/>
          <w:color w:val="000000"/>
        </w:rPr>
        <w:t>6</w:t>
      </w:r>
      <w:r w:rsidR="00636A9E">
        <w:rPr>
          <w:color w:val="000000"/>
        </w:rPr>
        <w:t>年</w:t>
      </w:r>
      <w:r w:rsidRPr="00393CDA">
        <w:rPr>
          <w:color w:val="000000"/>
        </w:rPr>
        <w:t>12</w:t>
      </w:r>
      <w:r w:rsidRPr="00393CDA">
        <w:rPr>
          <w:rFonts w:hint="eastAsia"/>
          <w:color w:val="000000"/>
        </w:rPr>
        <w:t>月</w:t>
      </w:r>
      <w:r w:rsidR="003B6014">
        <w:rPr>
          <w:color w:val="000000"/>
        </w:rPr>
        <w:t>30日</w:t>
      </w:r>
      <w:r w:rsidRPr="00393CDA">
        <w:rPr>
          <w:rFonts w:hint="eastAsia"/>
          <w:color w:val="000000"/>
        </w:rPr>
        <w:t>前未结案件；继续做好案件评查、审判质效评估，审判管理基础理论调研工作，及时查找审判执行工作中存在</w:t>
      </w:r>
      <w:r w:rsidR="00004462">
        <w:rPr>
          <w:rFonts w:hint="eastAsia"/>
          <w:color w:val="000000"/>
        </w:rPr>
        <w:t>的</w:t>
      </w:r>
      <w:r w:rsidRPr="00393CDA">
        <w:rPr>
          <w:rFonts w:hint="eastAsia"/>
          <w:color w:val="000000"/>
        </w:rPr>
        <w:t>问题和薄弱环节，全面提升审判质量、效率和效果；认真落实院、</w:t>
      </w:r>
      <w:r w:rsidRPr="00393CDA">
        <w:rPr>
          <w:rFonts w:hint="eastAsia"/>
          <w:color w:val="000000"/>
        </w:rPr>
        <w:lastRenderedPageBreak/>
        <w:t>庭长办案、专业法官会议、审判委员会、审判团队及专业化合议庭工作，将合议庭和承办法官的主体责任落到实处，认真贯彻落实裁判文书的签署制，实现“让审理者裁判，由裁判者负责”；深入推进审判流程公开、裁判文书公开、庭审公开工作等工作，主动接受社会各界监督，及时回应人民群众关切，保障当事人合法权益。</w:t>
      </w:r>
    </w:p>
    <w:p w:rsidR="008007B2" w:rsidRPr="00393CDA" w:rsidRDefault="008007B2" w:rsidP="00393CDA">
      <w:pPr>
        <w:snapToGrid w:val="0"/>
        <w:spacing w:line="580" w:lineRule="exact"/>
        <w:ind w:firstLine="645"/>
        <w:rPr>
          <w:color w:val="000000"/>
        </w:rPr>
      </w:pPr>
    </w:p>
    <w:p w:rsidR="008007B2" w:rsidRPr="00513CF4" w:rsidRDefault="008007B2" w:rsidP="00393CDA">
      <w:pPr>
        <w:snapToGrid w:val="0"/>
        <w:spacing w:line="540" w:lineRule="exact"/>
      </w:pPr>
    </w:p>
    <w:sectPr w:rsidR="008007B2" w:rsidRPr="00513CF4" w:rsidSect="00095164">
      <w:headerReference w:type="default" r:id="rId18"/>
      <w:footerReference w:type="default" r:id="rId19"/>
      <w:pgSz w:w="11906" w:h="16838"/>
      <w:pgMar w:top="1814" w:right="1588" w:bottom="1418" w:left="1588" w:header="680" w:footer="680" w:gutter="0"/>
      <w:pgNumType w:fmt="numberInDash" w:start="1"/>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C54" w:rsidRDefault="00D70C54">
      <w:r>
        <w:separator/>
      </w:r>
    </w:p>
  </w:endnote>
  <w:endnote w:type="continuationSeparator" w:id="0">
    <w:p w:rsidR="00D70C54" w:rsidRDefault="00D70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E7" w:rsidRPr="00D83A95" w:rsidRDefault="00D50E95">
    <w:pPr>
      <w:pStyle w:val="a8"/>
      <w:jc w:val="center"/>
      <w:rPr>
        <w:rFonts w:ascii="宋体"/>
        <w:sz w:val="28"/>
        <w:szCs w:val="28"/>
      </w:rPr>
    </w:pPr>
    <w:r w:rsidRPr="00D50E95">
      <w:rPr>
        <w:sz w:val="28"/>
        <w:szCs w:val="28"/>
      </w:rPr>
      <w:pict>
        <v:shapetype id="_x0000_t202" coordsize="21600,21600" o:spt="202" path="m,l,21600r21600,l21600,xe">
          <v:stroke joinstyle="miter"/>
          <v:path gradientshapeok="t" o:connecttype="rect"/>
        </v:shapetype>
        <v:shape id="文本框 7" o:spid="_x0000_s2049" type="#_x0000_t202" style="position:absolute;left:0;text-align:left;margin-left:0;margin-top:0;width:39.3pt;height:25.95pt;z-index:251657728;mso-position-horizontal:center;mso-position-horizontal-relative:margin" filled="f" stroked="f">
          <v:textbox style="mso-next-textbox:#文本框 7" inset="0,0,0,0">
            <w:txbxContent>
              <w:p w:rsidR="005C3BE7" w:rsidRPr="00AE4223" w:rsidRDefault="00D50E95">
                <w:pPr>
                  <w:snapToGrid w:val="0"/>
                  <w:rPr>
                    <w:rFonts w:ascii="宋体" w:eastAsia="宋体"/>
                    <w:sz w:val="28"/>
                    <w:szCs w:val="28"/>
                  </w:rPr>
                </w:pPr>
                <w:r w:rsidRPr="00AE4223">
                  <w:rPr>
                    <w:rFonts w:ascii="宋体" w:eastAsia="宋体" w:hint="eastAsia"/>
                    <w:sz w:val="28"/>
                    <w:szCs w:val="28"/>
                  </w:rPr>
                  <w:fldChar w:fldCharType="begin"/>
                </w:r>
                <w:r w:rsidR="005C3BE7" w:rsidRPr="00AE4223">
                  <w:rPr>
                    <w:rFonts w:ascii="宋体" w:eastAsia="宋体" w:hint="eastAsia"/>
                    <w:sz w:val="28"/>
                    <w:szCs w:val="28"/>
                  </w:rPr>
                  <w:instrText xml:space="preserve"> PAGE  \* MERGEFORMAT </w:instrText>
                </w:r>
                <w:r w:rsidRPr="00AE4223">
                  <w:rPr>
                    <w:rFonts w:ascii="宋体" w:eastAsia="宋体" w:hint="eastAsia"/>
                    <w:sz w:val="28"/>
                    <w:szCs w:val="28"/>
                  </w:rPr>
                  <w:fldChar w:fldCharType="separate"/>
                </w:r>
                <w:r w:rsidR="00F63E55">
                  <w:rPr>
                    <w:rFonts w:ascii="宋体" w:eastAsia="宋体"/>
                    <w:noProof/>
                    <w:sz w:val="28"/>
                    <w:szCs w:val="28"/>
                  </w:rPr>
                  <w:t>- 5 -</w:t>
                </w:r>
                <w:r w:rsidRPr="00AE4223">
                  <w:rPr>
                    <w:rFonts w:ascii="宋体" w:eastAsia="宋体" w:hint="eastAsia"/>
                    <w:sz w:val="28"/>
                    <w:szCs w:val="28"/>
                  </w:rPr>
                  <w:fldChar w:fldCharType="end"/>
                </w:r>
              </w:p>
            </w:txbxContent>
          </v:textbox>
          <w10:wrap anchorx="margin"/>
        </v:shape>
      </w:pict>
    </w:r>
  </w:p>
  <w:p w:rsidR="005C3BE7" w:rsidRDefault="005C3BE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C54" w:rsidRDefault="00D70C54">
      <w:r>
        <w:separator/>
      </w:r>
    </w:p>
  </w:footnote>
  <w:footnote w:type="continuationSeparator" w:id="0">
    <w:p w:rsidR="00D70C54" w:rsidRDefault="00D70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E7" w:rsidRDefault="005C3BE7" w:rsidP="002B3C15">
    <w:pPr>
      <w:pStyle w:val="a7"/>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72BBD"/>
    <w:multiLevelType w:val="hybridMultilevel"/>
    <w:tmpl w:val="661E0094"/>
    <w:lvl w:ilvl="0" w:tplc="BE126E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gutterAtTop/>
  <w:stylePaneFormatFilter w:val="3F01"/>
  <w:defaultTabStop w:val="420"/>
  <w:drawingGridHorizontalSpacing w:val="160"/>
  <w:drawingGridVerticalSpacing w:val="435"/>
  <w:displayHorizontalDrawingGridEvery w:val="0"/>
  <w:doNotShadeFormData/>
  <w:characterSpacingControl w:val="compressPunctuation"/>
  <w:doNotValidateAgainstSchema/>
  <w:doNotDemarcateInvalidXml/>
  <w:hdrShapeDefaults>
    <o:shapedefaults v:ext="edit" spidmax="37890"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DD4"/>
    <w:rsid w:val="00003501"/>
    <w:rsid w:val="00004462"/>
    <w:rsid w:val="00004A97"/>
    <w:rsid w:val="00005D2D"/>
    <w:rsid w:val="00007630"/>
    <w:rsid w:val="00007AA9"/>
    <w:rsid w:val="00014102"/>
    <w:rsid w:val="00014AF3"/>
    <w:rsid w:val="00014B7D"/>
    <w:rsid w:val="00020E5A"/>
    <w:rsid w:val="00021FBC"/>
    <w:rsid w:val="00022BCC"/>
    <w:rsid w:val="00023C3E"/>
    <w:rsid w:val="00024CB5"/>
    <w:rsid w:val="00025B9F"/>
    <w:rsid w:val="000265BC"/>
    <w:rsid w:val="00032BBC"/>
    <w:rsid w:val="0003309B"/>
    <w:rsid w:val="00033F58"/>
    <w:rsid w:val="000378CA"/>
    <w:rsid w:val="00040357"/>
    <w:rsid w:val="000414FE"/>
    <w:rsid w:val="0004254F"/>
    <w:rsid w:val="00044B21"/>
    <w:rsid w:val="00046DA2"/>
    <w:rsid w:val="00047AF6"/>
    <w:rsid w:val="00051A58"/>
    <w:rsid w:val="00051DF3"/>
    <w:rsid w:val="00053870"/>
    <w:rsid w:val="00055A71"/>
    <w:rsid w:val="00057428"/>
    <w:rsid w:val="00060BBB"/>
    <w:rsid w:val="00062825"/>
    <w:rsid w:val="00065EE7"/>
    <w:rsid w:val="00067758"/>
    <w:rsid w:val="00067EB6"/>
    <w:rsid w:val="0007024A"/>
    <w:rsid w:val="00071522"/>
    <w:rsid w:val="00071801"/>
    <w:rsid w:val="00071AE9"/>
    <w:rsid w:val="00071B44"/>
    <w:rsid w:val="00073094"/>
    <w:rsid w:val="00080178"/>
    <w:rsid w:val="0008268F"/>
    <w:rsid w:val="00092B4E"/>
    <w:rsid w:val="000931C5"/>
    <w:rsid w:val="00093A54"/>
    <w:rsid w:val="00095164"/>
    <w:rsid w:val="000A04B4"/>
    <w:rsid w:val="000A1984"/>
    <w:rsid w:val="000A2954"/>
    <w:rsid w:val="000A6761"/>
    <w:rsid w:val="000A6C3C"/>
    <w:rsid w:val="000A75B7"/>
    <w:rsid w:val="000A7FA8"/>
    <w:rsid w:val="000B487A"/>
    <w:rsid w:val="000B58CB"/>
    <w:rsid w:val="000B67CE"/>
    <w:rsid w:val="000C1B30"/>
    <w:rsid w:val="000C6E68"/>
    <w:rsid w:val="000D05EB"/>
    <w:rsid w:val="000D2B4E"/>
    <w:rsid w:val="000D2E2D"/>
    <w:rsid w:val="000D50EC"/>
    <w:rsid w:val="000D7152"/>
    <w:rsid w:val="000E13C0"/>
    <w:rsid w:val="000E6EDE"/>
    <w:rsid w:val="000E6F94"/>
    <w:rsid w:val="000F0DDE"/>
    <w:rsid w:val="000F21E9"/>
    <w:rsid w:val="000F2486"/>
    <w:rsid w:val="000F32BA"/>
    <w:rsid w:val="000F4896"/>
    <w:rsid w:val="000F4E8C"/>
    <w:rsid w:val="000F5790"/>
    <w:rsid w:val="000F7E36"/>
    <w:rsid w:val="00100381"/>
    <w:rsid w:val="00102D67"/>
    <w:rsid w:val="00104BB6"/>
    <w:rsid w:val="00105096"/>
    <w:rsid w:val="001064A0"/>
    <w:rsid w:val="001077E1"/>
    <w:rsid w:val="00110C56"/>
    <w:rsid w:val="00114048"/>
    <w:rsid w:val="00120D6D"/>
    <w:rsid w:val="00122785"/>
    <w:rsid w:val="00124FA7"/>
    <w:rsid w:val="00126A53"/>
    <w:rsid w:val="00127EE2"/>
    <w:rsid w:val="0013487E"/>
    <w:rsid w:val="0014080F"/>
    <w:rsid w:val="00141B40"/>
    <w:rsid w:val="00142907"/>
    <w:rsid w:val="00143B4D"/>
    <w:rsid w:val="001469EE"/>
    <w:rsid w:val="00147214"/>
    <w:rsid w:val="00151596"/>
    <w:rsid w:val="00152EF7"/>
    <w:rsid w:val="001534F6"/>
    <w:rsid w:val="001562CA"/>
    <w:rsid w:val="00157666"/>
    <w:rsid w:val="001605FE"/>
    <w:rsid w:val="00160620"/>
    <w:rsid w:val="00160F85"/>
    <w:rsid w:val="001621F9"/>
    <w:rsid w:val="00162E33"/>
    <w:rsid w:val="001647AB"/>
    <w:rsid w:val="001648B3"/>
    <w:rsid w:val="00170448"/>
    <w:rsid w:val="001704C3"/>
    <w:rsid w:val="00171641"/>
    <w:rsid w:val="00172A27"/>
    <w:rsid w:val="00173B3D"/>
    <w:rsid w:val="00173B53"/>
    <w:rsid w:val="00174540"/>
    <w:rsid w:val="001746B0"/>
    <w:rsid w:val="00176773"/>
    <w:rsid w:val="00180BE0"/>
    <w:rsid w:val="0018527F"/>
    <w:rsid w:val="001863BE"/>
    <w:rsid w:val="00192D21"/>
    <w:rsid w:val="001944D7"/>
    <w:rsid w:val="001957AE"/>
    <w:rsid w:val="00195EDD"/>
    <w:rsid w:val="001969C8"/>
    <w:rsid w:val="001A0DF2"/>
    <w:rsid w:val="001A1C71"/>
    <w:rsid w:val="001A2AD9"/>
    <w:rsid w:val="001A4659"/>
    <w:rsid w:val="001A5F12"/>
    <w:rsid w:val="001A73E9"/>
    <w:rsid w:val="001A7708"/>
    <w:rsid w:val="001B042A"/>
    <w:rsid w:val="001B5811"/>
    <w:rsid w:val="001B59DE"/>
    <w:rsid w:val="001C0E8D"/>
    <w:rsid w:val="001C1C55"/>
    <w:rsid w:val="001C21E9"/>
    <w:rsid w:val="001C54EA"/>
    <w:rsid w:val="001C5F8A"/>
    <w:rsid w:val="001C78EF"/>
    <w:rsid w:val="001D3C9E"/>
    <w:rsid w:val="001E1E20"/>
    <w:rsid w:val="001E2A9D"/>
    <w:rsid w:val="001E2B2A"/>
    <w:rsid w:val="001E5771"/>
    <w:rsid w:val="001E6E91"/>
    <w:rsid w:val="001F2BB7"/>
    <w:rsid w:val="001F3109"/>
    <w:rsid w:val="001F43B7"/>
    <w:rsid w:val="001F44C2"/>
    <w:rsid w:val="001F6E85"/>
    <w:rsid w:val="001F7047"/>
    <w:rsid w:val="00201268"/>
    <w:rsid w:val="00203950"/>
    <w:rsid w:val="00203A74"/>
    <w:rsid w:val="00204B67"/>
    <w:rsid w:val="0021562C"/>
    <w:rsid w:val="00217E33"/>
    <w:rsid w:val="00220FE0"/>
    <w:rsid w:val="00221AAF"/>
    <w:rsid w:val="002228E4"/>
    <w:rsid w:val="002249B4"/>
    <w:rsid w:val="00226BD8"/>
    <w:rsid w:val="002275F0"/>
    <w:rsid w:val="00227DF7"/>
    <w:rsid w:val="002304B9"/>
    <w:rsid w:val="002315A6"/>
    <w:rsid w:val="00235E93"/>
    <w:rsid w:val="0023692C"/>
    <w:rsid w:val="0023783D"/>
    <w:rsid w:val="00240BA3"/>
    <w:rsid w:val="002424C3"/>
    <w:rsid w:val="00244C0E"/>
    <w:rsid w:val="00244D4E"/>
    <w:rsid w:val="00247514"/>
    <w:rsid w:val="00250AEE"/>
    <w:rsid w:val="00252027"/>
    <w:rsid w:val="00254C73"/>
    <w:rsid w:val="00267E79"/>
    <w:rsid w:val="00270DB6"/>
    <w:rsid w:val="00275CF6"/>
    <w:rsid w:val="00280563"/>
    <w:rsid w:val="00282797"/>
    <w:rsid w:val="0028306A"/>
    <w:rsid w:val="0028427E"/>
    <w:rsid w:val="00284E77"/>
    <w:rsid w:val="00285916"/>
    <w:rsid w:val="0028747A"/>
    <w:rsid w:val="00290530"/>
    <w:rsid w:val="002927A1"/>
    <w:rsid w:val="002949AD"/>
    <w:rsid w:val="00296425"/>
    <w:rsid w:val="00296AFC"/>
    <w:rsid w:val="00297C90"/>
    <w:rsid w:val="002A5367"/>
    <w:rsid w:val="002A5562"/>
    <w:rsid w:val="002A69CD"/>
    <w:rsid w:val="002A7C02"/>
    <w:rsid w:val="002A7FC8"/>
    <w:rsid w:val="002B11CC"/>
    <w:rsid w:val="002B1D1B"/>
    <w:rsid w:val="002B3C15"/>
    <w:rsid w:val="002B3FCB"/>
    <w:rsid w:val="002B4474"/>
    <w:rsid w:val="002B45E4"/>
    <w:rsid w:val="002B5631"/>
    <w:rsid w:val="002B6D24"/>
    <w:rsid w:val="002C023C"/>
    <w:rsid w:val="002C1BAF"/>
    <w:rsid w:val="002C3FCC"/>
    <w:rsid w:val="002C4A35"/>
    <w:rsid w:val="002C6547"/>
    <w:rsid w:val="002D0421"/>
    <w:rsid w:val="002D094A"/>
    <w:rsid w:val="002D10D5"/>
    <w:rsid w:val="002D71D3"/>
    <w:rsid w:val="002E192D"/>
    <w:rsid w:val="002E45CF"/>
    <w:rsid w:val="002E58F7"/>
    <w:rsid w:val="002E70DD"/>
    <w:rsid w:val="002F20DA"/>
    <w:rsid w:val="002F467F"/>
    <w:rsid w:val="002F5564"/>
    <w:rsid w:val="00310403"/>
    <w:rsid w:val="00311283"/>
    <w:rsid w:val="00311C34"/>
    <w:rsid w:val="003122DF"/>
    <w:rsid w:val="00315820"/>
    <w:rsid w:val="00317A23"/>
    <w:rsid w:val="003233EC"/>
    <w:rsid w:val="00323AB1"/>
    <w:rsid w:val="003244F3"/>
    <w:rsid w:val="003274A2"/>
    <w:rsid w:val="00334BE2"/>
    <w:rsid w:val="00336261"/>
    <w:rsid w:val="00336F6C"/>
    <w:rsid w:val="0034230D"/>
    <w:rsid w:val="00342F4C"/>
    <w:rsid w:val="0034685F"/>
    <w:rsid w:val="00346976"/>
    <w:rsid w:val="0034794C"/>
    <w:rsid w:val="00352350"/>
    <w:rsid w:val="00352A19"/>
    <w:rsid w:val="00356CE9"/>
    <w:rsid w:val="00357A8F"/>
    <w:rsid w:val="00361571"/>
    <w:rsid w:val="00362C2E"/>
    <w:rsid w:val="00363D9B"/>
    <w:rsid w:val="00363E20"/>
    <w:rsid w:val="00365920"/>
    <w:rsid w:val="0036788D"/>
    <w:rsid w:val="00370090"/>
    <w:rsid w:val="00371D5D"/>
    <w:rsid w:val="00375AC1"/>
    <w:rsid w:val="00380593"/>
    <w:rsid w:val="0038110A"/>
    <w:rsid w:val="00381805"/>
    <w:rsid w:val="003839C3"/>
    <w:rsid w:val="00385DA0"/>
    <w:rsid w:val="003868BB"/>
    <w:rsid w:val="003872B8"/>
    <w:rsid w:val="00390E61"/>
    <w:rsid w:val="003938F5"/>
    <w:rsid w:val="00393CDA"/>
    <w:rsid w:val="003A1872"/>
    <w:rsid w:val="003A509D"/>
    <w:rsid w:val="003A6F5C"/>
    <w:rsid w:val="003A784A"/>
    <w:rsid w:val="003B227E"/>
    <w:rsid w:val="003B6014"/>
    <w:rsid w:val="003C0692"/>
    <w:rsid w:val="003C10EF"/>
    <w:rsid w:val="003C1223"/>
    <w:rsid w:val="003C14E2"/>
    <w:rsid w:val="003C164B"/>
    <w:rsid w:val="003C3A27"/>
    <w:rsid w:val="003C4CDD"/>
    <w:rsid w:val="003C6B6C"/>
    <w:rsid w:val="003C76E4"/>
    <w:rsid w:val="003C76E8"/>
    <w:rsid w:val="003D0F63"/>
    <w:rsid w:val="003D29E6"/>
    <w:rsid w:val="003D5A9F"/>
    <w:rsid w:val="003D609E"/>
    <w:rsid w:val="003D73F6"/>
    <w:rsid w:val="003E0149"/>
    <w:rsid w:val="003E1341"/>
    <w:rsid w:val="003E1E22"/>
    <w:rsid w:val="003E3099"/>
    <w:rsid w:val="003E3169"/>
    <w:rsid w:val="003E4E7D"/>
    <w:rsid w:val="003F0505"/>
    <w:rsid w:val="003F0982"/>
    <w:rsid w:val="003F18BE"/>
    <w:rsid w:val="003F62DC"/>
    <w:rsid w:val="003F684B"/>
    <w:rsid w:val="003F783B"/>
    <w:rsid w:val="00400F7C"/>
    <w:rsid w:val="00402F0E"/>
    <w:rsid w:val="004039A6"/>
    <w:rsid w:val="00403A06"/>
    <w:rsid w:val="00407AA8"/>
    <w:rsid w:val="004107C5"/>
    <w:rsid w:val="00412B2E"/>
    <w:rsid w:val="00413BCC"/>
    <w:rsid w:val="004220F5"/>
    <w:rsid w:val="0042229B"/>
    <w:rsid w:val="0042350D"/>
    <w:rsid w:val="00424BD2"/>
    <w:rsid w:val="00431B47"/>
    <w:rsid w:val="00432484"/>
    <w:rsid w:val="00433B52"/>
    <w:rsid w:val="00435028"/>
    <w:rsid w:val="0043554A"/>
    <w:rsid w:val="00437B5E"/>
    <w:rsid w:val="0044388F"/>
    <w:rsid w:val="00444DE3"/>
    <w:rsid w:val="0044578B"/>
    <w:rsid w:val="00446F15"/>
    <w:rsid w:val="004470FC"/>
    <w:rsid w:val="00450D3F"/>
    <w:rsid w:val="004536FB"/>
    <w:rsid w:val="00453FCF"/>
    <w:rsid w:val="00453FE0"/>
    <w:rsid w:val="004559B1"/>
    <w:rsid w:val="004608EB"/>
    <w:rsid w:val="004612B9"/>
    <w:rsid w:val="004624E8"/>
    <w:rsid w:val="00462616"/>
    <w:rsid w:val="004631AE"/>
    <w:rsid w:val="00465CAA"/>
    <w:rsid w:val="00465E74"/>
    <w:rsid w:val="00473330"/>
    <w:rsid w:val="00480558"/>
    <w:rsid w:val="004844A6"/>
    <w:rsid w:val="00485E19"/>
    <w:rsid w:val="004950BC"/>
    <w:rsid w:val="004A4437"/>
    <w:rsid w:val="004A5F46"/>
    <w:rsid w:val="004A6FB2"/>
    <w:rsid w:val="004A7C6D"/>
    <w:rsid w:val="004A7E5A"/>
    <w:rsid w:val="004B226A"/>
    <w:rsid w:val="004B2B39"/>
    <w:rsid w:val="004C19ED"/>
    <w:rsid w:val="004C2527"/>
    <w:rsid w:val="004D3141"/>
    <w:rsid w:val="004D397D"/>
    <w:rsid w:val="004D6404"/>
    <w:rsid w:val="004D6EAC"/>
    <w:rsid w:val="004E2041"/>
    <w:rsid w:val="004E4A82"/>
    <w:rsid w:val="004E6884"/>
    <w:rsid w:val="004E76A6"/>
    <w:rsid w:val="004F0433"/>
    <w:rsid w:val="004F0666"/>
    <w:rsid w:val="004F2871"/>
    <w:rsid w:val="004F42FA"/>
    <w:rsid w:val="004F4796"/>
    <w:rsid w:val="004F4BC8"/>
    <w:rsid w:val="004F5B78"/>
    <w:rsid w:val="004F6570"/>
    <w:rsid w:val="00501DAF"/>
    <w:rsid w:val="00503354"/>
    <w:rsid w:val="00503F3B"/>
    <w:rsid w:val="005047A5"/>
    <w:rsid w:val="00506473"/>
    <w:rsid w:val="00513CF4"/>
    <w:rsid w:val="00514282"/>
    <w:rsid w:val="005146CB"/>
    <w:rsid w:val="00514C2E"/>
    <w:rsid w:val="00514E93"/>
    <w:rsid w:val="0051609F"/>
    <w:rsid w:val="005202BC"/>
    <w:rsid w:val="00520333"/>
    <w:rsid w:val="00521B60"/>
    <w:rsid w:val="005239E7"/>
    <w:rsid w:val="00524F89"/>
    <w:rsid w:val="0053169F"/>
    <w:rsid w:val="00531FD2"/>
    <w:rsid w:val="00536E81"/>
    <w:rsid w:val="00542944"/>
    <w:rsid w:val="00544510"/>
    <w:rsid w:val="00546F39"/>
    <w:rsid w:val="00547B72"/>
    <w:rsid w:val="005527D2"/>
    <w:rsid w:val="00552D93"/>
    <w:rsid w:val="00553FA4"/>
    <w:rsid w:val="005542B9"/>
    <w:rsid w:val="00556745"/>
    <w:rsid w:val="0056062D"/>
    <w:rsid w:val="00561102"/>
    <w:rsid w:val="005622B4"/>
    <w:rsid w:val="005632AE"/>
    <w:rsid w:val="00563D3E"/>
    <w:rsid w:val="00564639"/>
    <w:rsid w:val="0056609B"/>
    <w:rsid w:val="005667DD"/>
    <w:rsid w:val="00567484"/>
    <w:rsid w:val="0056764A"/>
    <w:rsid w:val="005711B7"/>
    <w:rsid w:val="00572941"/>
    <w:rsid w:val="00572CAA"/>
    <w:rsid w:val="005746C5"/>
    <w:rsid w:val="0057698F"/>
    <w:rsid w:val="00577DFD"/>
    <w:rsid w:val="005808CC"/>
    <w:rsid w:val="00586AEA"/>
    <w:rsid w:val="00590351"/>
    <w:rsid w:val="00597E7C"/>
    <w:rsid w:val="005A0079"/>
    <w:rsid w:val="005A54B6"/>
    <w:rsid w:val="005B010C"/>
    <w:rsid w:val="005B0E79"/>
    <w:rsid w:val="005B4320"/>
    <w:rsid w:val="005B4C73"/>
    <w:rsid w:val="005B6A38"/>
    <w:rsid w:val="005C3BE7"/>
    <w:rsid w:val="005C5C10"/>
    <w:rsid w:val="005D163F"/>
    <w:rsid w:val="005E09B0"/>
    <w:rsid w:val="005E201B"/>
    <w:rsid w:val="005E2F39"/>
    <w:rsid w:val="005E43C0"/>
    <w:rsid w:val="005F08E3"/>
    <w:rsid w:val="005F15CC"/>
    <w:rsid w:val="005F1DC2"/>
    <w:rsid w:val="005F237E"/>
    <w:rsid w:val="005F2E53"/>
    <w:rsid w:val="005F37ED"/>
    <w:rsid w:val="005F426F"/>
    <w:rsid w:val="005F7776"/>
    <w:rsid w:val="00601BE4"/>
    <w:rsid w:val="00601F8F"/>
    <w:rsid w:val="006060C6"/>
    <w:rsid w:val="006079EA"/>
    <w:rsid w:val="0061070B"/>
    <w:rsid w:val="00611D2E"/>
    <w:rsid w:val="00611D77"/>
    <w:rsid w:val="00612810"/>
    <w:rsid w:val="00613B13"/>
    <w:rsid w:val="0061420F"/>
    <w:rsid w:val="00615397"/>
    <w:rsid w:val="00620945"/>
    <w:rsid w:val="00621F9C"/>
    <w:rsid w:val="006247D9"/>
    <w:rsid w:val="006255FC"/>
    <w:rsid w:val="00625677"/>
    <w:rsid w:val="00631191"/>
    <w:rsid w:val="00631849"/>
    <w:rsid w:val="00632769"/>
    <w:rsid w:val="00636A9E"/>
    <w:rsid w:val="006404CB"/>
    <w:rsid w:val="00640B03"/>
    <w:rsid w:val="00640FCD"/>
    <w:rsid w:val="006443A9"/>
    <w:rsid w:val="00645342"/>
    <w:rsid w:val="006521A7"/>
    <w:rsid w:val="0065422F"/>
    <w:rsid w:val="006568EC"/>
    <w:rsid w:val="0065770E"/>
    <w:rsid w:val="00657CEF"/>
    <w:rsid w:val="006605CF"/>
    <w:rsid w:val="006628A3"/>
    <w:rsid w:val="00662AEC"/>
    <w:rsid w:val="00663065"/>
    <w:rsid w:val="00664003"/>
    <w:rsid w:val="006659DD"/>
    <w:rsid w:val="0066748A"/>
    <w:rsid w:val="00667BF3"/>
    <w:rsid w:val="00671518"/>
    <w:rsid w:val="00673AC0"/>
    <w:rsid w:val="00677BE1"/>
    <w:rsid w:val="00680FFA"/>
    <w:rsid w:val="006810E2"/>
    <w:rsid w:val="00682A39"/>
    <w:rsid w:val="00686542"/>
    <w:rsid w:val="00692C63"/>
    <w:rsid w:val="006930C3"/>
    <w:rsid w:val="00693DE9"/>
    <w:rsid w:val="00695104"/>
    <w:rsid w:val="00695BC3"/>
    <w:rsid w:val="006971DD"/>
    <w:rsid w:val="006A0655"/>
    <w:rsid w:val="006A1CAA"/>
    <w:rsid w:val="006A2F95"/>
    <w:rsid w:val="006A3376"/>
    <w:rsid w:val="006A4D4F"/>
    <w:rsid w:val="006A4DD3"/>
    <w:rsid w:val="006A5475"/>
    <w:rsid w:val="006A5AB3"/>
    <w:rsid w:val="006B56E9"/>
    <w:rsid w:val="006B6A07"/>
    <w:rsid w:val="006C6686"/>
    <w:rsid w:val="006C7F31"/>
    <w:rsid w:val="006D1C87"/>
    <w:rsid w:val="006D4EF5"/>
    <w:rsid w:val="006D5928"/>
    <w:rsid w:val="006D665E"/>
    <w:rsid w:val="006E27F1"/>
    <w:rsid w:val="006E6B72"/>
    <w:rsid w:val="006E6C68"/>
    <w:rsid w:val="006F025F"/>
    <w:rsid w:val="006F19B0"/>
    <w:rsid w:val="00702381"/>
    <w:rsid w:val="007048C7"/>
    <w:rsid w:val="0070565C"/>
    <w:rsid w:val="00705A48"/>
    <w:rsid w:val="00706348"/>
    <w:rsid w:val="007100CD"/>
    <w:rsid w:val="00710DE7"/>
    <w:rsid w:val="00712414"/>
    <w:rsid w:val="00715462"/>
    <w:rsid w:val="0072046B"/>
    <w:rsid w:val="007213EB"/>
    <w:rsid w:val="00723AB1"/>
    <w:rsid w:val="00727B3D"/>
    <w:rsid w:val="0073054E"/>
    <w:rsid w:val="00735BE8"/>
    <w:rsid w:val="00736C39"/>
    <w:rsid w:val="00740D72"/>
    <w:rsid w:val="00741CE7"/>
    <w:rsid w:val="00741E7C"/>
    <w:rsid w:val="00746810"/>
    <w:rsid w:val="00746D70"/>
    <w:rsid w:val="00750A40"/>
    <w:rsid w:val="00751119"/>
    <w:rsid w:val="0075168E"/>
    <w:rsid w:val="00752FC7"/>
    <w:rsid w:val="00755F4F"/>
    <w:rsid w:val="00764A6A"/>
    <w:rsid w:val="00771484"/>
    <w:rsid w:val="00775E4B"/>
    <w:rsid w:val="00776735"/>
    <w:rsid w:val="00780703"/>
    <w:rsid w:val="0078266F"/>
    <w:rsid w:val="00783BB0"/>
    <w:rsid w:val="007850FD"/>
    <w:rsid w:val="0078737A"/>
    <w:rsid w:val="0079219A"/>
    <w:rsid w:val="0079336A"/>
    <w:rsid w:val="007942BD"/>
    <w:rsid w:val="007A117A"/>
    <w:rsid w:val="007A1A73"/>
    <w:rsid w:val="007A4117"/>
    <w:rsid w:val="007A591F"/>
    <w:rsid w:val="007A6878"/>
    <w:rsid w:val="007A68F8"/>
    <w:rsid w:val="007A7B35"/>
    <w:rsid w:val="007B0725"/>
    <w:rsid w:val="007B15D2"/>
    <w:rsid w:val="007B3606"/>
    <w:rsid w:val="007B511D"/>
    <w:rsid w:val="007B6740"/>
    <w:rsid w:val="007C23CB"/>
    <w:rsid w:val="007D085F"/>
    <w:rsid w:val="007D15BD"/>
    <w:rsid w:val="007D2B08"/>
    <w:rsid w:val="007D2FB1"/>
    <w:rsid w:val="007D571D"/>
    <w:rsid w:val="007D66F2"/>
    <w:rsid w:val="007E223D"/>
    <w:rsid w:val="007E3933"/>
    <w:rsid w:val="007E4D4F"/>
    <w:rsid w:val="007E72FE"/>
    <w:rsid w:val="007E79DF"/>
    <w:rsid w:val="007F0E0A"/>
    <w:rsid w:val="007F42E1"/>
    <w:rsid w:val="00800042"/>
    <w:rsid w:val="008007B2"/>
    <w:rsid w:val="008007CF"/>
    <w:rsid w:val="00801095"/>
    <w:rsid w:val="0080169B"/>
    <w:rsid w:val="008019A8"/>
    <w:rsid w:val="008042B6"/>
    <w:rsid w:val="0080661C"/>
    <w:rsid w:val="00807FED"/>
    <w:rsid w:val="008108FF"/>
    <w:rsid w:val="00811584"/>
    <w:rsid w:val="00813260"/>
    <w:rsid w:val="0081456C"/>
    <w:rsid w:val="00815AD4"/>
    <w:rsid w:val="00820728"/>
    <w:rsid w:val="00821A47"/>
    <w:rsid w:val="00821A8C"/>
    <w:rsid w:val="008223C1"/>
    <w:rsid w:val="00824AC9"/>
    <w:rsid w:val="00825C39"/>
    <w:rsid w:val="00826601"/>
    <w:rsid w:val="008307E8"/>
    <w:rsid w:val="008308EF"/>
    <w:rsid w:val="0083287B"/>
    <w:rsid w:val="00836557"/>
    <w:rsid w:val="00837BA3"/>
    <w:rsid w:val="00840BAA"/>
    <w:rsid w:val="00842FDA"/>
    <w:rsid w:val="00847A52"/>
    <w:rsid w:val="00850DFD"/>
    <w:rsid w:val="008511F9"/>
    <w:rsid w:val="00852331"/>
    <w:rsid w:val="008529D3"/>
    <w:rsid w:val="008532AD"/>
    <w:rsid w:val="00856238"/>
    <w:rsid w:val="0085784D"/>
    <w:rsid w:val="0085785D"/>
    <w:rsid w:val="00857C81"/>
    <w:rsid w:val="0086098C"/>
    <w:rsid w:val="00860FF7"/>
    <w:rsid w:val="00862491"/>
    <w:rsid w:val="0086672D"/>
    <w:rsid w:val="00870909"/>
    <w:rsid w:val="008716EE"/>
    <w:rsid w:val="00874A87"/>
    <w:rsid w:val="008805E5"/>
    <w:rsid w:val="0088417F"/>
    <w:rsid w:val="00884471"/>
    <w:rsid w:val="00884644"/>
    <w:rsid w:val="00885198"/>
    <w:rsid w:val="00885B89"/>
    <w:rsid w:val="00887DDD"/>
    <w:rsid w:val="008905BD"/>
    <w:rsid w:val="0089626E"/>
    <w:rsid w:val="008A1CF9"/>
    <w:rsid w:val="008B3FD5"/>
    <w:rsid w:val="008B67A2"/>
    <w:rsid w:val="008B686E"/>
    <w:rsid w:val="008C1151"/>
    <w:rsid w:val="008C15E6"/>
    <w:rsid w:val="008C21CD"/>
    <w:rsid w:val="008C4480"/>
    <w:rsid w:val="008C4941"/>
    <w:rsid w:val="008C5B6B"/>
    <w:rsid w:val="008D21BC"/>
    <w:rsid w:val="008D54BE"/>
    <w:rsid w:val="008D59AF"/>
    <w:rsid w:val="008D70A5"/>
    <w:rsid w:val="008E24F1"/>
    <w:rsid w:val="008E2593"/>
    <w:rsid w:val="008F0D89"/>
    <w:rsid w:val="008F383A"/>
    <w:rsid w:val="008F7691"/>
    <w:rsid w:val="009002DF"/>
    <w:rsid w:val="00901B73"/>
    <w:rsid w:val="00901CBB"/>
    <w:rsid w:val="00907E26"/>
    <w:rsid w:val="009100C2"/>
    <w:rsid w:val="00911BFE"/>
    <w:rsid w:val="00911C11"/>
    <w:rsid w:val="00911C48"/>
    <w:rsid w:val="00912267"/>
    <w:rsid w:val="0091283A"/>
    <w:rsid w:val="00914A0D"/>
    <w:rsid w:val="00914A51"/>
    <w:rsid w:val="0091733A"/>
    <w:rsid w:val="00920187"/>
    <w:rsid w:val="00921660"/>
    <w:rsid w:val="00923945"/>
    <w:rsid w:val="009300E2"/>
    <w:rsid w:val="00934232"/>
    <w:rsid w:val="00934704"/>
    <w:rsid w:val="00934F45"/>
    <w:rsid w:val="00934F7D"/>
    <w:rsid w:val="009415B1"/>
    <w:rsid w:val="009512EC"/>
    <w:rsid w:val="00955333"/>
    <w:rsid w:val="009605C0"/>
    <w:rsid w:val="0096148E"/>
    <w:rsid w:val="009644FB"/>
    <w:rsid w:val="00965773"/>
    <w:rsid w:val="00967AD0"/>
    <w:rsid w:val="00970B58"/>
    <w:rsid w:val="00972E52"/>
    <w:rsid w:val="00975397"/>
    <w:rsid w:val="00976292"/>
    <w:rsid w:val="0098015F"/>
    <w:rsid w:val="00980771"/>
    <w:rsid w:val="00981327"/>
    <w:rsid w:val="00981CB4"/>
    <w:rsid w:val="009832A1"/>
    <w:rsid w:val="00986202"/>
    <w:rsid w:val="00986A65"/>
    <w:rsid w:val="0098748A"/>
    <w:rsid w:val="009901F3"/>
    <w:rsid w:val="0099398C"/>
    <w:rsid w:val="009947E4"/>
    <w:rsid w:val="009972A6"/>
    <w:rsid w:val="009A0398"/>
    <w:rsid w:val="009A2FA6"/>
    <w:rsid w:val="009A39D1"/>
    <w:rsid w:val="009A3A1A"/>
    <w:rsid w:val="009A575F"/>
    <w:rsid w:val="009B2319"/>
    <w:rsid w:val="009B3AB3"/>
    <w:rsid w:val="009B48A3"/>
    <w:rsid w:val="009B546F"/>
    <w:rsid w:val="009C259C"/>
    <w:rsid w:val="009C4BB1"/>
    <w:rsid w:val="009C5CE0"/>
    <w:rsid w:val="009C7F99"/>
    <w:rsid w:val="009D0116"/>
    <w:rsid w:val="009E08BD"/>
    <w:rsid w:val="009E0C54"/>
    <w:rsid w:val="009E1889"/>
    <w:rsid w:val="009E251E"/>
    <w:rsid w:val="009E4C5C"/>
    <w:rsid w:val="009F0D1D"/>
    <w:rsid w:val="009F3D3E"/>
    <w:rsid w:val="009F4680"/>
    <w:rsid w:val="00A00AB7"/>
    <w:rsid w:val="00A00C9C"/>
    <w:rsid w:val="00A02320"/>
    <w:rsid w:val="00A118E1"/>
    <w:rsid w:val="00A13B63"/>
    <w:rsid w:val="00A15DF7"/>
    <w:rsid w:val="00A16FEC"/>
    <w:rsid w:val="00A20D98"/>
    <w:rsid w:val="00A243AB"/>
    <w:rsid w:val="00A244D1"/>
    <w:rsid w:val="00A30400"/>
    <w:rsid w:val="00A313A7"/>
    <w:rsid w:val="00A31CA6"/>
    <w:rsid w:val="00A31EB4"/>
    <w:rsid w:val="00A33B65"/>
    <w:rsid w:val="00A33D68"/>
    <w:rsid w:val="00A353DA"/>
    <w:rsid w:val="00A37D9F"/>
    <w:rsid w:val="00A40F38"/>
    <w:rsid w:val="00A410E0"/>
    <w:rsid w:val="00A41EBF"/>
    <w:rsid w:val="00A46977"/>
    <w:rsid w:val="00A47A31"/>
    <w:rsid w:val="00A52CB9"/>
    <w:rsid w:val="00A54D9B"/>
    <w:rsid w:val="00A55614"/>
    <w:rsid w:val="00A5561A"/>
    <w:rsid w:val="00A56FA5"/>
    <w:rsid w:val="00A603AA"/>
    <w:rsid w:val="00A60D67"/>
    <w:rsid w:val="00A6272B"/>
    <w:rsid w:val="00A7028F"/>
    <w:rsid w:val="00A76474"/>
    <w:rsid w:val="00A7755F"/>
    <w:rsid w:val="00A833A4"/>
    <w:rsid w:val="00A8359F"/>
    <w:rsid w:val="00A83AF4"/>
    <w:rsid w:val="00A85478"/>
    <w:rsid w:val="00A865CC"/>
    <w:rsid w:val="00A873EE"/>
    <w:rsid w:val="00A910F5"/>
    <w:rsid w:val="00A92862"/>
    <w:rsid w:val="00A93C7F"/>
    <w:rsid w:val="00A93C8F"/>
    <w:rsid w:val="00A94227"/>
    <w:rsid w:val="00A9430A"/>
    <w:rsid w:val="00A96060"/>
    <w:rsid w:val="00A9744C"/>
    <w:rsid w:val="00AA066A"/>
    <w:rsid w:val="00AA0C3A"/>
    <w:rsid w:val="00AA0CAF"/>
    <w:rsid w:val="00AA2D10"/>
    <w:rsid w:val="00AA5D72"/>
    <w:rsid w:val="00AB3A0B"/>
    <w:rsid w:val="00AB3A52"/>
    <w:rsid w:val="00AB4039"/>
    <w:rsid w:val="00AB4657"/>
    <w:rsid w:val="00AB7480"/>
    <w:rsid w:val="00AC2705"/>
    <w:rsid w:val="00AC56F3"/>
    <w:rsid w:val="00AC5844"/>
    <w:rsid w:val="00AC6F92"/>
    <w:rsid w:val="00AD32F9"/>
    <w:rsid w:val="00AD3ABA"/>
    <w:rsid w:val="00AD3EB8"/>
    <w:rsid w:val="00AD4867"/>
    <w:rsid w:val="00AD4A09"/>
    <w:rsid w:val="00AD7F75"/>
    <w:rsid w:val="00AE0437"/>
    <w:rsid w:val="00AE0516"/>
    <w:rsid w:val="00AE07EC"/>
    <w:rsid w:val="00AE0AAE"/>
    <w:rsid w:val="00AE2885"/>
    <w:rsid w:val="00AE4223"/>
    <w:rsid w:val="00AE752C"/>
    <w:rsid w:val="00AF326A"/>
    <w:rsid w:val="00AF3734"/>
    <w:rsid w:val="00AF410E"/>
    <w:rsid w:val="00AF4AC5"/>
    <w:rsid w:val="00B0045E"/>
    <w:rsid w:val="00B053D4"/>
    <w:rsid w:val="00B10902"/>
    <w:rsid w:val="00B13E3C"/>
    <w:rsid w:val="00B14347"/>
    <w:rsid w:val="00B14877"/>
    <w:rsid w:val="00B15C1E"/>
    <w:rsid w:val="00B23355"/>
    <w:rsid w:val="00B24A64"/>
    <w:rsid w:val="00B24EDD"/>
    <w:rsid w:val="00B25225"/>
    <w:rsid w:val="00B31224"/>
    <w:rsid w:val="00B35B6F"/>
    <w:rsid w:val="00B40D3B"/>
    <w:rsid w:val="00B44F24"/>
    <w:rsid w:val="00B45BA1"/>
    <w:rsid w:val="00B45DCC"/>
    <w:rsid w:val="00B46276"/>
    <w:rsid w:val="00B52084"/>
    <w:rsid w:val="00B52665"/>
    <w:rsid w:val="00B570F5"/>
    <w:rsid w:val="00B576EA"/>
    <w:rsid w:val="00B57C53"/>
    <w:rsid w:val="00B57CD5"/>
    <w:rsid w:val="00B57D2F"/>
    <w:rsid w:val="00B614E6"/>
    <w:rsid w:val="00B62266"/>
    <w:rsid w:val="00B7588B"/>
    <w:rsid w:val="00B77EE5"/>
    <w:rsid w:val="00B83615"/>
    <w:rsid w:val="00B83D02"/>
    <w:rsid w:val="00B8710D"/>
    <w:rsid w:val="00B90E87"/>
    <w:rsid w:val="00B92C3F"/>
    <w:rsid w:val="00B932F5"/>
    <w:rsid w:val="00B93368"/>
    <w:rsid w:val="00B9510F"/>
    <w:rsid w:val="00B96C10"/>
    <w:rsid w:val="00BA0DD0"/>
    <w:rsid w:val="00BA229C"/>
    <w:rsid w:val="00BA34F1"/>
    <w:rsid w:val="00BA7260"/>
    <w:rsid w:val="00BB132E"/>
    <w:rsid w:val="00BB2860"/>
    <w:rsid w:val="00BB6778"/>
    <w:rsid w:val="00BB747C"/>
    <w:rsid w:val="00BB757F"/>
    <w:rsid w:val="00BB7D87"/>
    <w:rsid w:val="00BC09C4"/>
    <w:rsid w:val="00BC119D"/>
    <w:rsid w:val="00BC1826"/>
    <w:rsid w:val="00BC2ECE"/>
    <w:rsid w:val="00BC3023"/>
    <w:rsid w:val="00BC3311"/>
    <w:rsid w:val="00BD023A"/>
    <w:rsid w:val="00BD058B"/>
    <w:rsid w:val="00BD0DEA"/>
    <w:rsid w:val="00BD1AF0"/>
    <w:rsid w:val="00BD3065"/>
    <w:rsid w:val="00BD6AB5"/>
    <w:rsid w:val="00BD7B1D"/>
    <w:rsid w:val="00BE02A0"/>
    <w:rsid w:val="00BE14AE"/>
    <w:rsid w:val="00BE2852"/>
    <w:rsid w:val="00BE787B"/>
    <w:rsid w:val="00BF6DF2"/>
    <w:rsid w:val="00BF7152"/>
    <w:rsid w:val="00BF736E"/>
    <w:rsid w:val="00C00C73"/>
    <w:rsid w:val="00C011E8"/>
    <w:rsid w:val="00C0165E"/>
    <w:rsid w:val="00C02596"/>
    <w:rsid w:val="00C027CA"/>
    <w:rsid w:val="00C0422E"/>
    <w:rsid w:val="00C05C94"/>
    <w:rsid w:val="00C074BD"/>
    <w:rsid w:val="00C07866"/>
    <w:rsid w:val="00C12755"/>
    <w:rsid w:val="00C15181"/>
    <w:rsid w:val="00C17004"/>
    <w:rsid w:val="00C23BCD"/>
    <w:rsid w:val="00C319BC"/>
    <w:rsid w:val="00C33B5F"/>
    <w:rsid w:val="00C34420"/>
    <w:rsid w:val="00C357C9"/>
    <w:rsid w:val="00C366EA"/>
    <w:rsid w:val="00C373A3"/>
    <w:rsid w:val="00C37A76"/>
    <w:rsid w:val="00C458F3"/>
    <w:rsid w:val="00C45D98"/>
    <w:rsid w:val="00C46A96"/>
    <w:rsid w:val="00C46DB1"/>
    <w:rsid w:val="00C47173"/>
    <w:rsid w:val="00C478DE"/>
    <w:rsid w:val="00C47999"/>
    <w:rsid w:val="00C527A4"/>
    <w:rsid w:val="00C569A3"/>
    <w:rsid w:val="00C60079"/>
    <w:rsid w:val="00C621A9"/>
    <w:rsid w:val="00C6422F"/>
    <w:rsid w:val="00C66085"/>
    <w:rsid w:val="00C70D92"/>
    <w:rsid w:val="00C72330"/>
    <w:rsid w:val="00C770A7"/>
    <w:rsid w:val="00C77DEC"/>
    <w:rsid w:val="00C80272"/>
    <w:rsid w:val="00C866E3"/>
    <w:rsid w:val="00C91AA9"/>
    <w:rsid w:val="00C936DC"/>
    <w:rsid w:val="00C96289"/>
    <w:rsid w:val="00C970B7"/>
    <w:rsid w:val="00C97F71"/>
    <w:rsid w:val="00CA16EF"/>
    <w:rsid w:val="00CA1C9E"/>
    <w:rsid w:val="00CA2814"/>
    <w:rsid w:val="00CA3E25"/>
    <w:rsid w:val="00CA4EE9"/>
    <w:rsid w:val="00CA5733"/>
    <w:rsid w:val="00CA7EE3"/>
    <w:rsid w:val="00CB0094"/>
    <w:rsid w:val="00CB5BB0"/>
    <w:rsid w:val="00CC0232"/>
    <w:rsid w:val="00CC09EF"/>
    <w:rsid w:val="00CC26D3"/>
    <w:rsid w:val="00CD0860"/>
    <w:rsid w:val="00CD21F0"/>
    <w:rsid w:val="00CD40B4"/>
    <w:rsid w:val="00CD4DA8"/>
    <w:rsid w:val="00CD750E"/>
    <w:rsid w:val="00CD7F8F"/>
    <w:rsid w:val="00CE2E25"/>
    <w:rsid w:val="00CE4228"/>
    <w:rsid w:val="00CE4A0D"/>
    <w:rsid w:val="00CE5F88"/>
    <w:rsid w:val="00CE6710"/>
    <w:rsid w:val="00CE690F"/>
    <w:rsid w:val="00CE6E9B"/>
    <w:rsid w:val="00CF0698"/>
    <w:rsid w:val="00CF2E6D"/>
    <w:rsid w:val="00CF31AB"/>
    <w:rsid w:val="00CF4B9F"/>
    <w:rsid w:val="00CF5AF6"/>
    <w:rsid w:val="00CF6403"/>
    <w:rsid w:val="00D00313"/>
    <w:rsid w:val="00D05BDF"/>
    <w:rsid w:val="00D10ECA"/>
    <w:rsid w:val="00D12F82"/>
    <w:rsid w:val="00D1401D"/>
    <w:rsid w:val="00D14643"/>
    <w:rsid w:val="00D1617E"/>
    <w:rsid w:val="00D175B0"/>
    <w:rsid w:val="00D17FDB"/>
    <w:rsid w:val="00D2173F"/>
    <w:rsid w:val="00D21EB0"/>
    <w:rsid w:val="00D256F5"/>
    <w:rsid w:val="00D27D08"/>
    <w:rsid w:val="00D300CA"/>
    <w:rsid w:val="00D341AD"/>
    <w:rsid w:val="00D34DB1"/>
    <w:rsid w:val="00D3558D"/>
    <w:rsid w:val="00D360F1"/>
    <w:rsid w:val="00D36270"/>
    <w:rsid w:val="00D43B88"/>
    <w:rsid w:val="00D50E95"/>
    <w:rsid w:val="00D51515"/>
    <w:rsid w:val="00D60C02"/>
    <w:rsid w:val="00D63BB6"/>
    <w:rsid w:val="00D66394"/>
    <w:rsid w:val="00D66E2D"/>
    <w:rsid w:val="00D670D2"/>
    <w:rsid w:val="00D67AC9"/>
    <w:rsid w:val="00D70331"/>
    <w:rsid w:val="00D70923"/>
    <w:rsid w:val="00D70C54"/>
    <w:rsid w:val="00D7234F"/>
    <w:rsid w:val="00D730C8"/>
    <w:rsid w:val="00D731F7"/>
    <w:rsid w:val="00D751B3"/>
    <w:rsid w:val="00D83743"/>
    <w:rsid w:val="00D83A95"/>
    <w:rsid w:val="00D85E1B"/>
    <w:rsid w:val="00D86D6B"/>
    <w:rsid w:val="00D873E3"/>
    <w:rsid w:val="00D90519"/>
    <w:rsid w:val="00D91700"/>
    <w:rsid w:val="00D91F60"/>
    <w:rsid w:val="00D9297C"/>
    <w:rsid w:val="00D929BC"/>
    <w:rsid w:val="00D934F5"/>
    <w:rsid w:val="00D93833"/>
    <w:rsid w:val="00D94CCC"/>
    <w:rsid w:val="00D957B1"/>
    <w:rsid w:val="00D95A36"/>
    <w:rsid w:val="00D96378"/>
    <w:rsid w:val="00DA06D5"/>
    <w:rsid w:val="00DA236F"/>
    <w:rsid w:val="00DA3C8D"/>
    <w:rsid w:val="00DA5472"/>
    <w:rsid w:val="00DA58D7"/>
    <w:rsid w:val="00DB4041"/>
    <w:rsid w:val="00DB495A"/>
    <w:rsid w:val="00DC061F"/>
    <w:rsid w:val="00DC13A7"/>
    <w:rsid w:val="00DC4DA8"/>
    <w:rsid w:val="00DC6B8C"/>
    <w:rsid w:val="00DD0F07"/>
    <w:rsid w:val="00DD1C66"/>
    <w:rsid w:val="00DD5DC1"/>
    <w:rsid w:val="00DD6D52"/>
    <w:rsid w:val="00DE460F"/>
    <w:rsid w:val="00DE494B"/>
    <w:rsid w:val="00DE4D52"/>
    <w:rsid w:val="00DE5BD7"/>
    <w:rsid w:val="00DF0837"/>
    <w:rsid w:val="00DF1875"/>
    <w:rsid w:val="00DF4C3C"/>
    <w:rsid w:val="00DF6CA8"/>
    <w:rsid w:val="00E01973"/>
    <w:rsid w:val="00E03F54"/>
    <w:rsid w:val="00E042DB"/>
    <w:rsid w:val="00E05A50"/>
    <w:rsid w:val="00E05C8A"/>
    <w:rsid w:val="00E05F10"/>
    <w:rsid w:val="00E064C3"/>
    <w:rsid w:val="00E10AEC"/>
    <w:rsid w:val="00E12CBC"/>
    <w:rsid w:val="00E13D9A"/>
    <w:rsid w:val="00E141D1"/>
    <w:rsid w:val="00E15616"/>
    <w:rsid w:val="00E164F0"/>
    <w:rsid w:val="00E16FEE"/>
    <w:rsid w:val="00E17C87"/>
    <w:rsid w:val="00E17E45"/>
    <w:rsid w:val="00E20487"/>
    <w:rsid w:val="00E20F54"/>
    <w:rsid w:val="00E21C3E"/>
    <w:rsid w:val="00E25051"/>
    <w:rsid w:val="00E25275"/>
    <w:rsid w:val="00E26F56"/>
    <w:rsid w:val="00E31DC3"/>
    <w:rsid w:val="00E3281D"/>
    <w:rsid w:val="00E40D96"/>
    <w:rsid w:val="00E41928"/>
    <w:rsid w:val="00E47031"/>
    <w:rsid w:val="00E47E3B"/>
    <w:rsid w:val="00E50686"/>
    <w:rsid w:val="00E507A1"/>
    <w:rsid w:val="00E50C84"/>
    <w:rsid w:val="00E50E2C"/>
    <w:rsid w:val="00E547FD"/>
    <w:rsid w:val="00E54BC0"/>
    <w:rsid w:val="00E54D89"/>
    <w:rsid w:val="00E55DCE"/>
    <w:rsid w:val="00E5690C"/>
    <w:rsid w:val="00E6028A"/>
    <w:rsid w:val="00E60A34"/>
    <w:rsid w:val="00E63BD4"/>
    <w:rsid w:val="00E64A18"/>
    <w:rsid w:val="00E67C4C"/>
    <w:rsid w:val="00E70DD6"/>
    <w:rsid w:val="00E72CBC"/>
    <w:rsid w:val="00E731C9"/>
    <w:rsid w:val="00E73CA4"/>
    <w:rsid w:val="00E73F08"/>
    <w:rsid w:val="00E74078"/>
    <w:rsid w:val="00E7720F"/>
    <w:rsid w:val="00E833A4"/>
    <w:rsid w:val="00E84F84"/>
    <w:rsid w:val="00E912A3"/>
    <w:rsid w:val="00E916C2"/>
    <w:rsid w:val="00E91A67"/>
    <w:rsid w:val="00E92AA7"/>
    <w:rsid w:val="00E93D3C"/>
    <w:rsid w:val="00E96849"/>
    <w:rsid w:val="00EA097E"/>
    <w:rsid w:val="00EA0EC0"/>
    <w:rsid w:val="00EA1820"/>
    <w:rsid w:val="00EA1AFB"/>
    <w:rsid w:val="00EA1F91"/>
    <w:rsid w:val="00EA2485"/>
    <w:rsid w:val="00EA2646"/>
    <w:rsid w:val="00EA50C2"/>
    <w:rsid w:val="00EA68C7"/>
    <w:rsid w:val="00EB0812"/>
    <w:rsid w:val="00EB36C5"/>
    <w:rsid w:val="00EB4C69"/>
    <w:rsid w:val="00EB4F83"/>
    <w:rsid w:val="00EB5AFD"/>
    <w:rsid w:val="00EC03F5"/>
    <w:rsid w:val="00EC05A9"/>
    <w:rsid w:val="00EC1399"/>
    <w:rsid w:val="00EC199F"/>
    <w:rsid w:val="00EC24D2"/>
    <w:rsid w:val="00ED00BF"/>
    <w:rsid w:val="00ED19BB"/>
    <w:rsid w:val="00ED32E3"/>
    <w:rsid w:val="00ED4EF5"/>
    <w:rsid w:val="00ED540C"/>
    <w:rsid w:val="00EE0B0A"/>
    <w:rsid w:val="00EE24D6"/>
    <w:rsid w:val="00EE4D2B"/>
    <w:rsid w:val="00EE4F8F"/>
    <w:rsid w:val="00EE57AB"/>
    <w:rsid w:val="00EF2086"/>
    <w:rsid w:val="00EF3453"/>
    <w:rsid w:val="00EF44BE"/>
    <w:rsid w:val="00EF4C0E"/>
    <w:rsid w:val="00EF65FF"/>
    <w:rsid w:val="00EF719F"/>
    <w:rsid w:val="00EF73D7"/>
    <w:rsid w:val="00F0268C"/>
    <w:rsid w:val="00F113C6"/>
    <w:rsid w:val="00F130AA"/>
    <w:rsid w:val="00F1353A"/>
    <w:rsid w:val="00F1483A"/>
    <w:rsid w:val="00F14A1A"/>
    <w:rsid w:val="00F21BEF"/>
    <w:rsid w:val="00F23A9A"/>
    <w:rsid w:val="00F25FA2"/>
    <w:rsid w:val="00F26C86"/>
    <w:rsid w:val="00F323CA"/>
    <w:rsid w:val="00F337F1"/>
    <w:rsid w:val="00F34434"/>
    <w:rsid w:val="00F350ED"/>
    <w:rsid w:val="00F36097"/>
    <w:rsid w:val="00F37D66"/>
    <w:rsid w:val="00F413AF"/>
    <w:rsid w:val="00F41B32"/>
    <w:rsid w:val="00F42CCC"/>
    <w:rsid w:val="00F43059"/>
    <w:rsid w:val="00F470F6"/>
    <w:rsid w:val="00F50A54"/>
    <w:rsid w:val="00F54552"/>
    <w:rsid w:val="00F63E55"/>
    <w:rsid w:val="00F65EA0"/>
    <w:rsid w:val="00F6612A"/>
    <w:rsid w:val="00F73010"/>
    <w:rsid w:val="00F73FBF"/>
    <w:rsid w:val="00F761A9"/>
    <w:rsid w:val="00F76E1F"/>
    <w:rsid w:val="00F80DAC"/>
    <w:rsid w:val="00F828DB"/>
    <w:rsid w:val="00F82BAD"/>
    <w:rsid w:val="00F82FC9"/>
    <w:rsid w:val="00F84341"/>
    <w:rsid w:val="00F85820"/>
    <w:rsid w:val="00F86BDA"/>
    <w:rsid w:val="00F911D8"/>
    <w:rsid w:val="00F91C91"/>
    <w:rsid w:val="00F930A4"/>
    <w:rsid w:val="00FA09B0"/>
    <w:rsid w:val="00FA1AEB"/>
    <w:rsid w:val="00FA24AF"/>
    <w:rsid w:val="00FA25A0"/>
    <w:rsid w:val="00FA278D"/>
    <w:rsid w:val="00FA578C"/>
    <w:rsid w:val="00FA747F"/>
    <w:rsid w:val="00FB0D00"/>
    <w:rsid w:val="00FB3A66"/>
    <w:rsid w:val="00FB6915"/>
    <w:rsid w:val="00FC4F58"/>
    <w:rsid w:val="00FD1512"/>
    <w:rsid w:val="00FD2572"/>
    <w:rsid w:val="00FD2D60"/>
    <w:rsid w:val="00FD3582"/>
    <w:rsid w:val="00FD4830"/>
    <w:rsid w:val="00FE24D0"/>
    <w:rsid w:val="00FE4466"/>
    <w:rsid w:val="00FE68E0"/>
    <w:rsid w:val="00FE6DA4"/>
    <w:rsid w:val="00FE7C25"/>
    <w:rsid w:val="00FF08EF"/>
    <w:rsid w:val="00FF171D"/>
    <w:rsid w:val="00FF21E6"/>
    <w:rsid w:val="00FF2817"/>
    <w:rsid w:val="00FF3E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宋体"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FB2"/>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4A6FB2"/>
    <w:rPr>
      <w:vertAlign w:val="superscript"/>
    </w:rPr>
  </w:style>
  <w:style w:type="character" w:customStyle="1" w:styleId="Char">
    <w:name w:val="页眉 Char"/>
    <w:rsid w:val="004A6FB2"/>
    <w:rPr>
      <w:sz w:val="18"/>
    </w:rPr>
  </w:style>
  <w:style w:type="character" w:styleId="a4">
    <w:name w:val="page number"/>
    <w:basedOn w:val="a0"/>
    <w:rsid w:val="004A6FB2"/>
  </w:style>
  <w:style w:type="character" w:customStyle="1" w:styleId="Char0">
    <w:name w:val="页脚 Char"/>
    <w:rsid w:val="004A6FB2"/>
    <w:rPr>
      <w:sz w:val="18"/>
    </w:rPr>
  </w:style>
  <w:style w:type="character" w:customStyle="1" w:styleId="Char1">
    <w:name w:val="批注框文本 Char"/>
    <w:rsid w:val="004A6FB2"/>
    <w:rPr>
      <w:sz w:val="18"/>
    </w:rPr>
  </w:style>
  <w:style w:type="character" w:customStyle="1" w:styleId="Char2">
    <w:name w:val="脚注文本 Char"/>
    <w:uiPriority w:val="99"/>
    <w:rsid w:val="004A6FB2"/>
    <w:rPr>
      <w:sz w:val="18"/>
    </w:rPr>
  </w:style>
  <w:style w:type="paragraph" w:styleId="a5">
    <w:name w:val="Document Map"/>
    <w:basedOn w:val="a"/>
    <w:rsid w:val="004A6FB2"/>
    <w:pPr>
      <w:shd w:val="clear" w:color="auto" w:fill="000080"/>
    </w:pPr>
  </w:style>
  <w:style w:type="paragraph" w:styleId="a6">
    <w:name w:val="Balloon Text"/>
    <w:basedOn w:val="a"/>
    <w:rsid w:val="004A6FB2"/>
    <w:rPr>
      <w:sz w:val="18"/>
    </w:rPr>
  </w:style>
  <w:style w:type="paragraph" w:styleId="a7">
    <w:name w:val="header"/>
    <w:basedOn w:val="a"/>
    <w:rsid w:val="004A6FB2"/>
    <w:pPr>
      <w:pBdr>
        <w:bottom w:val="single" w:sz="6" w:space="1" w:color="auto"/>
      </w:pBdr>
      <w:tabs>
        <w:tab w:val="center" w:pos="4153"/>
        <w:tab w:val="right" w:pos="8306"/>
      </w:tabs>
      <w:snapToGrid w:val="0"/>
      <w:jc w:val="center"/>
    </w:pPr>
    <w:rPr>
      <w:sz w:val="18"/>
    </w:rPr>
  </w:style>
  <w:style w:type="paragraph" w:styleId="a8">
    <w:name w:val="footer"/>
    <w:basedOn w:val="a"/>
    <w:rsid w:val="004A6FB2"/>
    <w:pPr>
      <w:tabs>
        <w:tab w:val="center" w:pos="4153"/>
        <w:tab w:val="right" w:pos="8306"/>
      </w:tabs>
      <w:snapToGrid w:val="0"/>
      <w:jc w:val="left"/>
    </w:pPr>
    <w:rPr>
      <w:sz w:val="18"/>
    </w:rPr>
  </w:style>
  <w:style w:type="paragraph" w:styleId="a9">
    <w:name w:val="footnote text"/>
    <w:basedOn w:val="a"/>
    <w:uiPriority w:val="99"/>
    <w:rsid w:val="004A6FB2"/>
    <w:pPr>
      <w:snapToGrid w:val="0"/>
      <w:jc w:val="left"/>
    </w:pPr>
    <w:rPr>
      <w:sz w:val="18"/>
    </w:rPr>
  </w:style>
  <w:style w:type="paragraph" w:customStyle="1" w:styleId="Char3">
    <w:name w:val="Char"/>
    <w:basedOn w:val="a"/>
    <w:rsid w:val="004A6FB2"/>
    <w:pPr>
      <w:spacing w:line="240" w:lineRule="atLeast"/>
      <w:ind w:left="420" w:firstLine="420"/>
    </w:pPr>
    <w:rPr>
      <w:rFonts w:eastAsia="宋体"/>
      <w:kern w:val="0"/>
      <w:sz w:val="21"/>
    </w:rPr>
  </w:style>
  <w:style w:type="paragraph" w:customStyle="1" w:styleId="DecimalAligned">
    <w:name w:val="Decimal Aligned"/>
    <w:basedOn w:val="a"/>
    <w:uiPriority w:val="40"/>
    <w:qFormat/>
    <w:rsid w:val="003F0982"/>
    <w:pPr>
      <w:widowControl/>
      <w:tabs>
        <w:tab w:val="decimal" w:pos="360"/>
      </w:tabs>
      <w:spacing w:after="200" w:line="276" w:lineRule="auto"/>
      <w:jc w:val="left"/>
    </w:pPr>
    <w:rPr>
      <w:rFonts w:ascii="Calibri" w:eastAsia="Calibri" w:hAnsi="Calibri"/>
      <w:kern w:val="0"/>
      <w:sz w:val="22"/>
      <w:szCs w:val="22"/>
    </w:rPr>
  </w:style>
  <w:style w:type="character" w:styleId="aa">
    <w:name w:val="Subtle Emphasis"/>
    <w:uiPriority w:val="19"/>
    <w:qFormat/>
    <w:rsid w:val="003F0982"/>
    <w:rPr>
      <w:i/>
      <w:iCs/>
      <w:color w:val="000000"/>
    </w:rPr>
  </w:style>
  <w:style w:type="table" w:customStyle="1" w:styleId="-11">
    <w:name w:val="浅色底纹 - 强调文字颜色 11"/>
    <w:basedOn w:val="a1"/>
    <w:uiPriority w:val="60"/>
    <w:rsid w:val="003F0982"/>
    <w:rPr>
      <w:rFonts w:ascii="Calibri" w:eastAsia="宋体" w:hAnsi="Calibri"/>
      <w:color w:val="4F81BD"/>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1">
    <w:name w:val="Medium List 2 Accent 1"/>
    <w:basedOn w:val="a1"/>
    <w:uiPriority w:val="66"/>
    <w:rsid w:val="003F0982"/>
    <w:rPr>
      <w:rFonts w:ascii="Cambria" w:eastAsia="宋体"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ab">
    <w:name w:val="Table Grid"/>
    <w:basedOn w:val="a1"/>
    <w:uiPriority w:val="59"/>
    <w:unhideWhenUsed/>
    <w:rsid w:val="008C15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589180">
      <w:bodyDiv w:val="1"/>
      <w:marLeft w:val="0"/>
      <w:marRight w:val="0"/>
      <w:marTop w:val="0"/>
      <w:marBottom w:val="0"/>
      <w:divBdr>
        <w:top w:val="none" w:sz="0" w:space="0" w:color="auto"/>
        <w:left w:val="none" w:sz="0" w:space="0" w:color="auto"/>
        <w:bottom w:val="none" w:sz="0" w:space="0" w:color="auto"/>
        <w:right w:val="none" w:sz="0" w:space="0" w:color="auto"/>
      </w:divBdr>
    </w:div>
    <w:div w:id="331875158">
      <w:bodyDiv w:val="1"/>
      <w:marLeft w:val="0"/>
      <w:marRight w:val="0"/>
      <w:marTop w:val="0"/>
      <w:marBottom w:val="0"/>
      <w:divBdr>
        <w:top w:val="none" w:sz="0" w:space="0" w:color="auto"/>
        <w:left w:val="none" w:sz="0" w:space="0" w:color="auto"/>
        <w:bottom w:val="none" w:sz="0" w:space="0" w:color="auto"/>
        <w:right w:val="none" w:sz="0" w:space="0" w:color="auto"/>
      </w:divBdr>
    </w:div>
    <w:div w:id="1275283040">
      <w:bodyDiv w:val="1"/>
      <w:marLeft w:val="0"/>
      <w:marRight w:val="0"/>
      <w:marTop w:val="0"/>
      <w:marBottom w:val="0"/>
      <w:divBdr>
        <w:top w:val="none" w:sz="0" w:space="0" w:color="auto"/>
        <w:left w:val="none" w:sz="0" w:space="0" w:color="auto"/>
        <w:bottom w:val="none" w:sz="0" w:space="0" w:color="auto"/>
        <w:right w:val="none" w:sz="0" w:space="0" w:color="auto"/>
      </w:divBdr>
    </w:div>
    <w:div w:id="1738892434">
      <w:bodyDiv w:val="1"/>
      <w:marLeft w:val="0"/>
      <w:marRight w:val="0"/>
      <w:marTop w:val="0"/>
      <w:marBottom w:val="0"/>
      <w:divBdr>
        <w:top w:val="none" w:sz="0" w:space="0" w:color="auto"/>
        <w:left w:val="none" w:sz="0" w:space="0" w:color="auto"/>
        <w:bottom w:val="none" w:sz="0" w:space="0" w:color="auto"/>
        <w:right w:val="none" w:sz="0" w:space="0" w:color="auto"/>
      </w:divBdr>
    </w:div>
    <w:div w:id="20027296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__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10"/>
  <c:chart>
    <c:title>
      <c:tx>
        <c:rich>
          <a:bodyPr/>
          <a:lstStyle/>
          <a:p>
            <a:pPr>
              <a:defRPr sz="1400" b="1">
                <a:latin typeface="仿宋" pitchFamily="49" charset="-122"/>
                <a:ea typeface="仿宋" pitchFamily="49" charset="-122"/>
              </a:defRPr>
            </a:pPr>
            <a:r>
              <a:rPr lang="zh-CN" altLang="en-US" sz="1400">
                <a:latin typeface="仿宋" pitchFamily="49" charset="-122"/>
                <a:ea typeface="仿宋" pitchFamily="49" charset="-122"/>
              </a:rPr>
              <a:t>图表</a:t>
            </a:r>
            <a:r>
              <a:rPr lang="en-US" altLang="zh-CN" sz="1400">
                <a:latin typeface="仿宋" pitchFamily="49" charset="-122"/>
                <a:ea typeface="仿宋" pitchFamily="49" charset="-122"/>
              </a:rPr>
              <a:t>1   </a:t>
            </a:r>
            <a:r>
              <a:rPr lang="zh-CN" altLang="en-US" sz="1400">
                <a:latin typeface="仿宋" pitchFamily="49" charset="-122"/>
                <a:ea typeface="仿宋" pitchFamily="49" charset="-122"/>
              </a:rPr>
              <a:t>全院受理案件构成情况对比图</a:t>
            </a:r>
          </a:p>
        </c:rich>
      </c:tx>
    </c:title>
    <c:view3D>
      <c:rotX val="30"/>
      <c:perspective val="0"/>
    </c:view3D>
    <c:plotArea>
      <c:layout>
        <c:manualLayout>
          <c:layoutTarget val="inner"/>
          <c:xMode val="edge"/>
          <c:yMode val="edge"/>
          <c:x val="0.19172098279381738"/>
          <c:y val="0.22174905651586513"/>
          <c:w val="0.5521669341894061"/>
          <c:h val="0.52311435523114358"/>
        </c:manualLayout>
      </c:layout>
      <c:pie3DChart>
        <c:varyColors val="1"/>
        <c:ser>
          <c:idx val="0"/>
          <c:order val="0"/>
          <c:tx>
            <c:strRef>
              <c:f>Sheet1!$B$1</c:f>
              <c:strCache>
                <c:ptCount val="1"/>
                <c:pt idx="0">
                  <c:v>图表1   全院受理案件构成情况对比图</c:v>
                </c:pt>
              </c:strCache>
            </c:strRef>
          </c:tx>
          <c:explosion val="8"/>
          <c:dLbls>
            <c:dLbl>
              <c:idx val="0"/>
              <c:layout>
                <c:manualLayout>
                  <c:x val="-5.5011402360723584E-2"/>
                  <c:y val="2.1896745099188159E-3"/>
                </c:manualLayout>
              </c:layout>
              <c:tx>
                <c:rich>
                  <a:bodyPr/>
                  <a:lstStyle/>
                  <a:p>
                    <a:r>
                      <a:rPr lang="zh-CN" altLang="en-US" sz="900">
                        <a:latin typeface="仿宋" pitchFamily="49" charset="-122"/>
                        <a:ea typeface="仿宋" pitchFamily="49" charset="-122"/>
                      </a:rPr>
                      <a:t>刑事</a:t>
                    </a:r>
                    <a:r>
                      <a:rPr lang="en-US" altLang="zh-CN" sz="900">
                        <a:latin typeface="仿宋" pitchFamily="49" charset="-122"/>
                        <a:ea typeface="仿宋" pitchFamily="49" charset="-122"/>
                      </a:rPr>
                      <a:t>, 106</a:t>
                    </a:r>
                    <a:r>
                      <a:rPr lang="zh-CN" altLang="en-US" sz="900">
                        <a:latin typeface="仿宋" pitchFamily="49" charset="-122"/>
                        <a:ea typeface="仿宋" pitchFamily="49" charset="-122"/>
                      </a:rPr>
                      <a:t>件</a:t>
                    </a:r>
                    <a:r>
                      <a:rPr lang="en-US" altLang="zh-CN" sz="900">
                        <a:latin typeface="仿宋" pitchFamily="49" charset="-122"/>
                        <a:ea typeface="仿宋" pitchFamily="49" charset="-122"/>
                      </a:rPr>
                      <a:t>, </a:t>
                    </a:r>
                    <a:r>
                      <a:rPr lang="zh-CN" altLang="en-US" sz="900">
                        <a:latin typeface="仿宋" pitchFamily="49" charset="-122"/>
                        <a:ea typeface="仿宋" pitchFamily="49" charset="-122"/>
                      </a:rPr>
                      <a:t>占比</a:t>
                    </a:r>
                    <a:r>
                      <a:rPr lang="en-US" altLang="zh-CN" sz="900">
                        <a:latin typeface="仿宋" pitchFamily="49" charset="-122"/>
                        <a:ea typeface="仿宋" pitchFamily="49" charset="-122"/>
                      </a:rPr>
                      <a:t>5.36%</a:t>
                    </a:r>
                    <a:endParaRPr lang="zh-CN" altLang="en-US" sz="900">
                      <a:latin typeface="仿宋" pitchFamily="49" charset="-122"/>
                      <a:ea typeface="仿宋" pitchFamily="49" charset="-122"/>
                    </a:endParaRPr>
                  </a:p>
                </c:rich>
              </c:tx>
              <c:dLblPos val="bestFit"/>
              <c:showVal val="1"/>
              <c:showCatName val="1"/>
              <c:showPercent val="1"/>
            </c:dLbl>
            <c:dLbl>
              <c:idx val="1"/>
              <c:layout>
                <c:manualLayout>
                  <c:x val="4.4053513951778867E-2"/>
                  <c:y val="6.5598358853461713E-2"/>
                </c:manualLayout>
              </c:layout>
              <c:tx>
                <c:rich>
                  <a:bodyPr/>
                  <a:lstStyle/>
                  <a:p>
                    <a:r>
                      <a:rPr lang="zh-CN" altLang="en-US">
                        <a:latin typeface="仿宋" pitchFamily="49" charset="-122"/>
                        <a:ea typeface="仿宋" pitchFamily="49" charset="-122"/>
                      </a:rPr>
                      <a:t>刑罚变更</a:t>
                    </a:r>
                    <a:r>
                      <a:rPr lang="en-US" altLang="zh-CN">
                        <a:latin typeface="仿宋" pitchFamily="49" charset="-122"/>
                        <a:ea typeface="仿宋" pitchFamily="49" charset="-122"/>
                      </a:rPr>
                      <a:t>, 4</a:t>
                    </a:r>
                    <a:r>
                      <a:rPr lang="zh-CN" altLang="en-US">
                        <a:latin typeface="仿宋" pitchFamily="49" charset="-122"/>
                        <a:ea typeface="仿宋" pitchFamily="49" charset="-122"/>
                      </a:rPr>
                      <a:t>件</a:t>
                    </a:r>
                    <a:r>
                      <a:rPr lang="en-US" altLang="zh-CN">
                        <a:latin typeface="仿宋" pitchFamily="49" charset="-122"/>
                        <a:ea typeface="仿宋" pitchFamily="49" charset="-122"/>
                      </a:rPr>
                      <a:t>, </a:t>
                    </a:r>
                    <a:r>
                      <a:rPr lang="zh-CN" altLang="en-US">
                        <a:latin typeface="仿宋" pitchFamily="49" charset="-122"/>
                        <a:ea typeface="仿宋" pitchFamily="49" charset="-122"/>
                      </a:rPr>
                      <a:t>占比</a:t>
                    </a:r>
                    <a:r>
                      <a:rPr lang="en-US" altLang="zh-CN">
                        <a:latin typeface="仿宋" pitchFamily="49" charset="-122"/>
                        <a:ea typeface="仿宋" pitchFamily="49" charset="-122"/>
                      </a:rPr>
                      <a:t>0.20%</a:t>
                    </a:r>
                  </a:p>
                </c:rich>
              </c:tx>
              <c:dLblPos val="bestFit"/>
              <c:showVal val="1"/>
              <c:showCatName val="1"/>
              <c:showPercent val="1"/>
            </c:dLbl>
            <c:dLbl>
              <c:idx val="2"/>
              <c:tx>
                <c:rich>
                  <a:bodyPr/>
                  <a:lstStyle/>
                  <a:p>
                    <a:r>
                      <a:rPr lang="zh-CN" altLang="en-US"/>
                      <a:t>民事</a:t>
                    </a:r>
                    <a:r>
                      <a:rPr lang="en-US" altLang="zh-CN"/>
                      <a:t>, 1122</a:t>
                    </a:r>
                    <a:r>
                      <a:rPr lang="zh-CN" altLang="en-US"/>
                      <a:t>件</a:t>
                    </a:r>
                    <a:r>
                      <a:rPr lang="en-US" altLang="zh-CN"/>
                      <a:t>, </a:t>
                    </a:r>
                    <a:r>
                      <a:rPr lang="zh-CN" altLang="en-US"/>
                      <a:t>占比</a:t>
                    </a:r>
                    <a:r>
                      <a:rPr lang="en-US" altLang="zh-CN"/>
                      <a:t>56.75%</a:t>
                    </a:r>
                  </a:p>
                </c:rich>
              </c:tx>
              <c:dLblPos val="bestFit"/>
              <c:showLegendKey val="1"/>
              <c:showVal val="1"/>
              <c:showCatName val="1"/>
              <c:showPercent val="1"/>
              <c:separator>, </c:separator>
            </c:dLbl>
            <c:dLbl>
              <c:idx val="3"/>
              <c:layout>
                <c:manualLayout>
                  <c:x val="4.7288580960071304E-2"/>
                  <c:y val="5.4663639769245563E-2"/>
                </c:manualLayout>
              </c:layout>
              <c:tx>
                <c:rich>
                  <a:bodyPr/>
                  <a:lstStyle/>
                  <a:p>
                    <a:r>
                      <a:rPr lang="zh-CN" altLang="en-US" sz="900">
                        <a:latin typeface="仿宋" pitchFamily="49" charset="-122"/>
                        <a:ea typeface="仿宋" pitchFamily="49" charset="-122"/>
                      </a:rPr>
                      <a:t>行政</a:t>
                    </a:r>
                    <a:r>
                      <a:rPr lang="en-US" altLang="zh-CN" sz="900">
                        <a:latin typeface="仿宋" pitchFamily="49" charset="-122"/>
                        <a:ea typeface="仿宋" pitchFamily="49" charset="-122"/>
                      </a:rPr>
                      <a:t>, 47</a:t>
                    </a:r>
                    <a:r>
                      <a:rPr lang="zh-CN" altLang="en-US" sz="900">
                        <a:latin typeface="仿宋" pitchFamily="49" charset="-122"/>
                        <a:ea typeface="仿宋" pitchFamily="49" charset="-122"/>
                      </a:rPr>
                      <a:t>件</a:t>
                    </a:r>
                    <a:r>
                      <a:rPr lang="en-US" altLang="zh-CN" sz="900">
                        <a:latin typeface="仿宋" pitchFamily="49" charset="-122"/>
                        <a:ea typeface="仿宋" pitchFamily="49" charset="-122"/>
                      </a:rPr>
                      <a:t>, </a:t>
                    </a:r>
                    <a:r>
                      <a:rPr lang="zh-CN" altLang="en-US" sz="900">
                        <a:latin typeface="仿宋" pitchFamily="49" charset="-122"/>
                        <a:ea typeface="仿宋" pitchFamily="49" charset="-122"/>
                      </a:rPr>
                      <a:t>占比</a:t>
                    </a:r>
                    <a:r>
                      <a:rPr lang="en-US" altLang="zh-CN" sz="900">
                        <a:latin typeface="仿宋" pitchFamily="49" charset="-122"/>
                        <a:ea typeface="仿宋" pitchFamily="49" charset="-122"/>
                      </a:rPr>
                      <a:t>2.38%</a:t>
                    </a:r>
                    <a:endParaRPr lang="zh-CN" altLang="en-US" sz="900">
                      <a:latin typeface="仿宋" pitchFamily="49" charset="-122"/>
                      <a:ea typeface="仿宋" pitchFamily="49" charset="-122"/>
                    </a:endParaRPr>
                  </a:p>
                </c:rich>
              </c:tx>
              <c:dLblPos val="bestFit"/>
              <c:showVal val="1"/>
              <c:showCatName val="1"/>
              <c:showPercent val="1"/>
            </c:dLbl>
            <c:dLbl>
              <c:idx val="4"/>
              <c:layout>
                <c:manualLayout>
                  <c:x val="-3.1257235087972617E-2"/>
                  <c:y val="-4.9908251557135581E-2"/>
                </c:manualLayout>
              </c:layout>
              <c:tx>
                <c:rich>
                  <a:bodyPr/>
                  <a:lstStyle/>
                  <a:p>
                    <a:r>
                      <a:rPr lang="zh-CN" altLang="en-US">
                        <a:latin typeface="仿宋" pitchFamily="49" charset="-122"/>
                        <a:ea typeface="仿宋" pitchFamily="49" charset="-122"/>
                      </a:rPr>
                      <a:t>赔偿</a:t>
                    </a:r>
                    <a:r>
                      <a:rPr lang="en-US" altLang="zh-CN">
                        <a:latin typeface="仿宋" pitchFamily="49" charset="-122"/>
                        <a:ea typeface="仿宋" pitchFamily="49" charset="-122"/>
                      </a:rPr>
                      <a:t>, 5</a:t>
                    </a:r>
                    <a:r>
                      <a:rPr lang="zh-CN" altLang="en-US">
                        <a:latin typeface="仿宋" pitchFamily="49" charset="-122"/>
                        <a:ea typeface="仿宋" pitchFamily="49" charset="-122"/>
                      </a:rPr>
                      <a:t>件</a:t>
                    </a:r>
                    <a:r>
                      <a:rPr lang="en-US" altLang="zh-CN">
                        <a:latin typeface="仿宋" pitchFamily="49" charset="-122"/>
                        <a:ea typeface="仿宋" pitchFamily="49" charset="-122"/>
                      </a:rPr>
                      <a:t>, </a:t>
                    </a:r>
                    <a:r>
                      <a:rPr lang="zh-CN" altLang="en-US">
                        <a:latin typeface="仿宋" pitchFamily="49" charset="-122"/>
                        <a:ea typeface="仿宋" pitchFamily="49" charset="-122"/>
                      </a:rPr>
                      <a:t>占比</a:t>
                    </a:r>
                    <a:r>
                      <a:rPr lang="en-US" altLang="zh-CN">
                        <a:latin typeface="仿宋" pitchFamily="49" charset="-122"/>
                        <a:ea typeface="仿宋" pitchFamily="49" charset="-122"/>
                      </a:rPr>
                      <a:t>0.25%</a:t>
                    </a:r>
                    <a:endParaRPr lang="zh-CN" altLang="en-US">
                      <a:latin typeface="仿宋" pitchFamily="49" charset="-122"/>
                      <a:ea typeface="仿宋" pitchFamily="49" charset="-122"/>
                    </a:endParaRPr>
                  </a:p>
                </c:rich>
              </c:tx>
              <c:dLblPos val="bestFit"/>
              <c:showVal val="1"/>
              <c:showCatName val="1"/>
              <c:showPercent val="1"/>
            </c:dLbl>
            <c:dLbl>
              <c:idx val="5"/>
              <c:tx>
                <c:rich>
                  <a:bodyPr/>
                  <a:lstStyle/>
                  <a:p>
                    <a:r>
                      <a:rPr lang="zh-CN" altLang="en-US"/>
                      <a:t>执行</a:t>
                    </a:r>
                    <a:r>
                      <a:rPr lang="en-US" altLang="zh-CN"/>
                      <a:t>, 691</a:t>
                    </a:r>
                    <a:r>
                      <a:rPr lang="zh-CN" altLang="en-US"/>
                      <a:t>件</a:t>
                    </a:r>
                    <a:r>
                      <a:rPr lang="en-US" altLang="zh-CN"/>
                      <a:t>,</a:t>
                    </a:r>
                    <a:r>
                      <a:rPr lang="zh-CN" altLang="en-US"/>
                      <a:t>占比</a:t>
                    </a:r>
                    <a:r>
                      <a:rPr lang="en-US" altLang="zh-CN"/>
                      <a:t>34.95%</a:t>
                    </a:r>
                    <a:endParaRPr lang="zh-CN" altLang="en-US"/>
                  </a:p>
                </c:rich>
              </c:tx>
              <c:dLblPos val="bestFit"/>
              <c:showVal val="1"/>
              <c:showCatName val="1"/>
              <c:showPercent val="1"/>
            </c:dLbl>
            <c:dLbl>
              <c:idx val="6"/>
              <c:layout>
                <c:manualLayout>
                  <c:x val="-0.10236434629560739"/>
                  <c:y val="1.9300595547093114E-2"/>
                </c:manualLayout>
              </c:layout>
              <c:tx>
                <c:rich>
                  <a:bodyPr/>
                  <a:lstStyle/>
                  <a:p>
                    <a:r>
                      <a:rPr lang="zh-CN" altLang="en-US" sz="900">
                        <a:latin typeface="仿宋" pitchFamily="49" charset="-122"/>
                        <a:ea typeface="仿宋" pitchFamily="49" charset="-122"/>
                      </a:rPr>
                      <a:t>审查监督</a:t>
                    </a:r>
                    <a:r>
                      <a:rPr lang="en-US" altLang="zh-CN" sz="900">
                        <a:latin typeface="仿宋" pitchFamily="49" charset="-122"/>
                        <a:ea typeface="仿宋" pitchFamily="49" charset="-122"/>
                      </a:rPr>
                      <a:t>, 2</a:t>
                    </a:r>
                    <a:r>
                      <a:rPr lang="zh-CN" altLang="en-US" sz="900">
                        <a:latin typeface="仿宋" pitchFamily="49" charset="-122"/>
                        <a:ea typeface="仿宋" pitchFamily="49" charset="-122"/>
                      </a:rPr>
                      <a:t>件</a:t>
                    </a:r>
                    <a:r>
                      <a:rPr lang="en-US" altLang="zh-CN" sz="900">
                        <a:latin typeface="仿宋" pitchFamily="49" charset="-122"/>
                        <a:ea typeface="仿宋" pitchFamily="49" charset="-122"/>
                      </a:rPr>
                      <a:t>,</a:t>
                    </a:r>
                  </a:p>
                  <a:p>
                    <a:r>
                      <a:rPr lang="en-US" altLang="zh-CN" sz="900">
                        <a:latin typeface="仿宋" pitchFamily="49" charset="-122"/>
                        <a:ea typeface="仿宋" pitchFamily="49" charset="-122"/>
                      </a:rPr>
                      <a:t> </a:t>
                    </a:r>
                    <a:r>
                      <a:rPr lang="zh-CN" altLang="en-US" sz="900">
                        <a:latin typeface="仿宋" pitchFamily="49" charset="-122"/>
                        <a:ea typeface="仿宋" pitchFamily="49" charset="-122"/>
                      </a:rPr>
                      <a:t>占比</a:t>
                    </a:r>
                    <a:r>
                      <a:rPr lang="en-US" altLang="zh-CN" sz="900">
                        <a:latin typeface="仿宋" pitchFamily="49" charset="-122"/>
                        <a:ea typeface="仿宋" pitchFamily="49" charset="-122"/>
                      </a:rPr>
                      <a:t>0.10%</a:t>
                    </a:r>
                    <a:endParaRPr lang="zh-CN" altLang="en-US" sz="900">
                      <a:latin typeface="仿宋" pitchFamily="49" charset="-122"/>
                      <a:ea typeface="仿宋" pitchFamily="49" charset="-122"/>
                    </a:endParaRPr>
                  </a:p>
                </c:rich>
              </c:tx>
              <c:dLblPos val="bestFit"/>
              <c:showVal val="1"/>
              <c:showCatName val="1"/>
              <c:showPercent val="1"/>
            </c:dLbl>
            <c:numFmt formatCode="0.00%" sourceLinked="0"/>
            <c:txPr>
              <a:bodyPr/>
              <a:lstStyle/>
              <a:p>
                <a:pPr>
                  <a:defRPr sz="900">
                    <a:latin typeface="仿宋" pitchFamily="49" charset="-122"/>
                    <a:ea typeface="仿宋" pitchFamily="49" charset="-122"/>
                  </a:defRPr>
                </a:pPr>
                <a:endParaRPr lang="zh-CN"/>
              </a:p>
            </c:txPr>
            <c:dLblPos val="bestFit"/>
            <c:showVal val="1"/>
            <c:showCatName val="1"/>
            <c:showPercent val="1"/>
            <c:showLeaderLines val="1"/>
          </c:dLbls>
          <c:cat>
            <c:strRef>
              <c:f>Sheet1!$A$2:$A$8</c:f>
              <c:strCache>
                <c:ptCount val="7"/>
                <c:pt idx="0">
                  <c:v>刑事</c:v>
                </c:pt>
                <c:pt idx="1">
                  <c:v>刑罚变更</c:v>
                </c:pt>
                <c:pt idx="2">
                  <c:v>民事</c:v>
                </c:pt>
                <c:pt idx="3">
                  <c:v>行政</c:v>
                </c:pt>
                <c:pt idx="4">
                  <c:v>赔偿</c:v>
                </c:pt>
                <c:pt idx="5">
                  <c:v>执行</c:v>
                </c:pt>
                <c:pt idx="6">
                  <c:v>审查监督</c:v>
                </c:pt>
              </c:strCache>
            </c:strRef>
          </c:cat>
          <c:val>
            <c:numRef>
              <c:f>Sheet1!$B$2:$B$8</c:f>
              <c:numCache>
                <c:formatCode>General</c:formatCode>
                <c:ptCount val="7"/>
                <c:pt idx="0">
                  <c:v>106</c:v>
                </c:pt>
                <c:pt idx="1">
                  <c:v>4</c:v>
                </c:pt>
                <c:pt idx="2">
                  <c:v>1122</c:v>
                </c:pt>
                <c:pt idx="3">
                  <c:v>47</c:v>
                </c:pt>
                <c:pt idx="4">
                  <c:v>5</c:v>
                </c:pt>
                <c:pt idx="5">
                  <c:v>691</c:v>
                </c:pt>
                <c:pt idx="6">
                  <c:v>2</c:v>
                </c:pt>
              </c:numCache>
            </c:numRef>
          </c:val>
        </c:ser>
        <c:dLbls>
          <c:showCatName val="1"/>
          <c:showPercent val="1"/>
        </c:dLbls>
      </c:pie3DChart>
      <c:spPr>
        <a:noFill/>
        <a:ln w="25404">
          <a:noFill/>
        </a:ln>
      </c:spPr>
    </c:plotArea>
    <c:plotVisOnly val="1"/>
    <c:dispBlanksAs val="zero"/>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376" b="1" i="0" u="none" strike="noStrike" baseline="0">
                <a:solidFill>
                  <a:srgbClr val="000000"/>
                </a:solidFill>
                <a:latin typeface="仿宋"/>
                <a:ea typeface="仿宋"/>
                <a:cs typeface="仿宋"/>
              </a:defRPr>
            </a:pPr>
            <a:r>
              <a:rPr lang="zh-CN" altLang="en-US"/>
              <a:t>图表</a:t>
            </a:r>
            <a:r>
              <a:rPr lang="en-US" altLang="zh-CN"/>
              <a:t>10 </a:t>
            </a:r>
            <a:r>
              <a:rPr lang="zh-CN" altLang="en-US"/>
              <a:t>和龙法院被发回、改判案件分布图（同比）</a:t>
            </a:r>
          </a:p>
        </c:rich>
      </c:tx>
      <c:layout>
        <c:manualLayout>
          <c:xMode val="edge"/>
          <c:yMode val="edge"/>
          <c:x val="0.13787085514834205"/>
          <c:y val="3.7414965986394877E-2"/>
        </c:manualLayout>
      </c:layout>
      <c:spPr>
        <a:noFill/>
        <a:ln w="25412">
          <a:noFill/>
        </a:ln>
      </c:spPr>
    </c:title>
    <c:plotArea>
      <c:layout>
        <c:manualLayout>
          <c:layoutTarget val="inner"/>
          <c:xMode val="edge"/>
          <c:yMode val="edge"/>
          <c:x val="0.18324607329843073"/>
          <c:y val="0.35374149659863929"/>
          <c:w val="0.78883071553228623"/>
          <c:h val="0.40816326530612246"/>
        </c:manualLayout>
      </c:layout>
      <c:barChart>
        <c:barDir val="col"/>
        <c:grouping val="clustered"/>
        <c:ser>
          <c:idx val="0"/>
          <c:order val="0"/>
          <c:tx>
            <c:strRef>
              <c:f>Sheet1!$A$2</c:f>
              <c:strCache>
                <c:ptCount val="1"/>
                <c:pt idx="0">
                  <c:v>2017年三季度</c:v>
                </c:pt>
              </c:strCache>
            </c:strRef>
          </c:tx>
          <c:spPr>
            <a:solidFill>
              <a:srgbClr val="008080"/>
            </a:solidFill>
            <a:ln w="12706">
              <a:solidFill>
                <a:srgbClr val="000000"/>
              </a:solidFill>
              <a:prstDash val="solid"/>
            </a:ln>
          </c:spPr>
          <c:dLbls>
            <c:spPr>
              <a:noFill/>
              <a:ln w="25412">
                <a:noFill/>
              </a:ln>
            </c:spPr>
            <c:txPr>
              <a:bodyPr/>
              <a:lstStyle/>
              <a:p>
                <a:pPr>
                  <a:defRPr sz="800" b="0" i="0" u="none" strike="noStrike" baseline="0">
                    <a:solidFill>
                      <a:srgbClr val="000000"/>
                    </a:solidFill>
                    <a:latin typeface="宋体"/>
                    <a:ea typeface="宋体"/>
                    <a:cs typeface="宋体"/>
                  </a:defRPr>
                </a:pPr>
                <a:endParaRPr lang="zh-CN"/>
              </a:p>
            </c:txPr>
            <c:showVal val="1"/>
          </c:dLbls>
          <c:cat>
            <c:strRef>
              <c:f>Sheet1!$B$1:$F$1</c:f>
              <c:strCache>
                <c:ptCount val="5"/>
                <c:pt idx="0">
                  <c:v>刑庭</c:v>
                </c:pt>
                <c:pt idx="1">
                  <c:v>民一庭</c:v>
                </c:pt>
                <c:pt idx="2">
                  <c:v>民二庭</c:v>
                </c:pt>
                <c:pt idx="3">
                  <c:v>头道法庭</c:v>
                </c:pt>
                <c:pt idx="4">
                  <c:v>行政庭</c:v>
                </c:pt>
              </c:strCache>
            </c:strRef>
          </c:cat>
          <c:val>
            <c:numRef>
              <c:f>Sheet1!$B$2:$F$2</c:f>
              <c:numCache>
                <c:formatCode>General</c:formatCode>
                <c:ptCount val="5"/>
                <c:pt idx="0">
                  <c:v>5</c:v>
                </c:pt>
                <c:pt idx="1">
                  <c:v>11</c:v>
                </c:pt>
                <c:pt idx="2">
                  <c:v>7</c:v>
                </c:pt>
                <c:pt idx="3">
                  <c:v>6</c:v>
                </c:pt>
                <c:pt idx="4">
                  <c:v>0</c:v>
                </c:pt>
              </c:numCache>
            </c:numRef>
          </c:val>
        </c:ser>
        <c:ser>
          <c:idx val="1"/>
          <c:order val="1"/>
          <c:tx>
            <c:strRef>
              <c:f>Sheet1!$A$3</c:f>
              <c:strCache>
                <c:ptCount val="1"/>
                <c:pt idx="0">
                  <c:v>2016年三季度</c:v>
                </c:pt>
              </c:strCache>
            </c:strRef>
          </c:tx>
          <c:spPr>
            <a:solidFill>
              <a:srgbClr val="FF8080"/>
            </a:solidFill>
            <a:ln w="12706">
              <a:solidFill>
                <a:srgbClr val="000000"/>
              </a:solidFill>
              <a:prstDash val="solid"/>
            </a:ln>
          </c:spPr>
          <c:dLbls>
            <c:spPr>
              <a:noFill/>
              <a:ln w="25412">
                <a:noFill/>
              </a:ln>
            </c:spPr>
            <c:txPr>
              <a:bodyPr/>
              <a:lstStyle/>
              <a:p>
                <a:pPr>
                  <a:defRPr sz="800" b="0" i="0" u="none" strike="noStrike" baseline="0">
                    <a:solidFill>
                      <a:srgbClr val="000000"/>
                    </a:solidFill>
                    <a:latin typeface="宋体"/>
                    <a:ea typeface="宋体"/>
                    <a:cs typeface="宋体"/>
                  </a:defRPr>
                </a:pPr>
                <a:endParaRPr lang="zh-CN"/>
              </a:p>
            </c:txPr>
            <c:showVal val="1"/>
          </c:dLbls>
          <c:cat>
            <c:strRef>
              <c:f>Sheet1!$B$1:$F$1</c:f>
              <c:strCache>
                <c:ptCount val="5"/>
                <c:pt idx="0">
                  <c:v>刑庭</c:v>
                </c:pt>
                <c:pt idx="1">
                  <c:v>民一庭</c:v>
                </c:pt>
                <c:pt idx="2">
                  <c:v>民二庭</c:v>
                </c:pt>
                <c:pt idx="3">
                  <c:v>头道法庭</c:v>
                </c:pt>
                <c:pt idx="4">
                  <c:v>行政庭</c:v>
                </c:pt>
              </c:strCache>
            </c:strRef>
          </c:cat>
          <c:val>
            <c:numRef>
              <c:f>Sheet1!$B$3:$F$3</c:f>
              <c:numCache>
                <c:formatCode>General</c:formatCode>
                <c:ptCount val="5"/>
                <c:pt idx="0">
                  <c:v>2</c:v>
                </c:pt>
                <c:pt idx="1">
                  <c:v>13</c:v>
                </c:pt>
                <c:pt idx="2">
                  <c:v>16</c:v>
                </c:pt>
                <c:pt idx="3">
                  <c:v>5</c:v>
                </c:pt>
                <c:pt idx="4">
                  <c:v>0</c:v>
                </c:pt>
              </c:numCache>
            </c:numRef>
          </c:val>
        </c:ser>
        <c:axId val="188677504"/>
        <c:axId val="188355712"/>
      </c:barChart>
      <c:catAx>
        <c:axId val="188677504"/>
        <c:scaling>
          <c:orientation val="minMax"/>
        </c:scaling>
        <c:axPos val="b"/>
        <c:numFmt formatCode="General" sourceLinked="1"/>
        <c:majorTickMark val="in"/>
        <c:tickLblPos val="nextTo"/>
        <c:spPr>
          <a:ln w="3176">
            <a:solidFill>
              <a:srgbClr val="000000"/>
            </a:solidFill>
            <a:prstDash val="solid"/>
          </a:ln>
        </c:spPr>
        <c:txPr>
          <a:bodyPr rot="0" vert="horz"/>
          <a:lstStyle/>
          <a:p>
            <a:pPr>
              <a:defRPr sz="1451" b="0" i="0" u="none" strike="noStrike" baseline="0">
                <a:solidFill>
                  <a:srgbClr val="000000"/>
                </a:solidFill>
                <a:latin typeface="宋体"/>
                <a:ea typeface="宋体"/>
                <a:cs typeface="宋体"/>
              </a:defRPr>
            </a:pPr>
            <a:endParaRPr lang="zh-CN"/>
          </a:p>
        </c:txPr>
        <c:crossAx val="188355712"/>
        <c:crosses val="autoZero"/>
        <c:auto val="1"/>
        <c:lblAlgn val="ctr"/>
        <c:lblOffset val="100"/>
        <c:tickMarkSkip val="1"/>
      </c:catAx>
      <c:valAx>
        <c:axId val="188355712"/>
        <c:scaling>
          <c:orientation val="minMax"/>
        </c:scaling>
        <c:axPos val="l"/>
        <c:majorGridlines>
          <c:spPr>
            <a:ln w="3176">
              <a:solidFill>
                <a:srgbClr val="000000"/>
              </a:solidFill>
              <a:prstDash val="solid"/>
            </a:ln>
          </c:spPr>
        </c:majorGridlines>
        <c:minorGridlines>
          <c:spPr>
            <a:ln w="3176">
              <a:solidFill>
                <a:srgbClr val="000000"/>
              </a:solidFill>
              <a:prstDash val="solid"/>
            </a:ln>
          </c:spPr>
        </c:minorGridlines>
        <c:numFmt formatCode="General" sourceLinked="1"/>
        <c:majorTickMark val="in"/>
        <c:tickLblPos val="nextTo"/>
        <c:spPr>
          <a:ln w="3176">
            <a:solidFill>
              <a:srgbClr val="000000"/>
            </a:solidFill>
            <a:prstDash val="solid"/>
          </a:ln>
        </c:spPr>
        <c:txPr>
          <a:bodyPr rot="0" vert="horz"/>
          <a:lstStyle/>
          <a:p>
            <a:pPr>
              <a:defRPr sz="1451" b="0" i="0" u="none" strike="noStrike" baseline="0">
                <a:solidFill>
                  <a:srgbClr val="000000"/>
                </a:solidFill>
                <a:latin typeface="宋体"/>
                <a:ea typeface="宋体"/>
                <a:cs typeface="宋体"/>
              </a:defRPr>
            </a:pPr>
            <a:endParaRPr lang="zh-CN"/>
          </a:p>
        </c:txPr>
        <c:crossAx val="188677504"/>
        <c:crosses val="autoZero"/>
        <c:crossBetween val="between"/>
      </c:valAx>
      <c:dTable>
        <c:showHorzBorder val="1"/>
        <c:showVertBorder val="1"/>
        <c:showKeys val="1"/>
        <c:spPr>
          <a:ln w="3176">
            <a:solidFill>
              <a:srgbClr val="000000"/>
            </a:solidFill>
            <a:prstDash val="solid"/>
          </a:ln>
        </c:spPr>
        <c:txPr>
          <a:bodyPr/>
          <a:lstStyle/>
          <a:p>
            <a:pPr rtl="0">
              <a:defRPr sz="1000" b="0" i="0" u="none" strike="noStrike" baseline="0">
                <a:solidFill>
                  <a:srgbClr val="000000"/>
                </a:solidFill>
                <a:latin typeface="仿宋"/>
                <a:ea typeface="仿宋"/>
                <a:cs typeface="仿宋"/>
              </a:defRPr>
            </a:pPr>
            <a:endParaRPr lang="zh-CN"/>
          </a:p>
        </c:txPr>
      </c:dTable>
      <c:spPr>
        <a:solidFill>
          <a:srgbClr val="FFFFFF"/>
        </a:solidFill>
        <a:ln w="12706">
          <a:solidFill>
            <a:srgbClr val="000000"/>
          </a:solidFill>
          <a:prstDash val="solid"/>
        </a:ln>
      </c:spPr>
    </c:plotArea>
    <c:legend>
      <c:legendPos val="t"/>
      <c:legendEntry>
        <c:idx val="0"/>
        <c:txPr>
          <a:bodyPr/>
          <a:lstStyle/>
          <a:p>
            <a:pPr>
              <a:defRPr sz="825" b="0" i="0" u="none" strike="noStrike" baseline="0">
                <a:solidFill>
                  <a:srgbClr val="000000"/>
                </a:solidFill>
                <a:latin typeface="宋体"/>
                <a:ea typeface="宋体"/>
                <a:cs typeface="宋体"/>
              </a:defRPr>
            </a:pPr>
            <a:endParaRPr lang="zh-CN"/>
          </a:p>
        </c:txPr>
      </c:legendEntry>
      <c:legendEntry>
        <c:idx val="1"/>
        <c:txPr>
          <a:bodyPr/>
          <a:lstStyle/>
          <a:p>
            <a:pPr>
              <a:defRPr sz="825" b="0" i="0" u="none" strike="noStrike" baseline="0">
                <a:solidFill>
                  <a:srgbClr val="000000"/>
                </a:solidFill>
                <a:latin typeface="宋体"/>
                <a:ea typeface="宋体"/>
                <a:cs typeface="宋体"/>
              </a:defRPr>
            </a:pPr>
            <a:endParaRPr lang="zh-CN"/>
          </a:p>
        </c:txPr>
      </c:legendEntry>
      <c:layout>
        <c:manualLayout>
          <c:xMode val="edge"/>
          <c:yMode val="edge"/>
          <c:x val="0.22731830769410771"/>
          <c:y val="0.16424524152443795"/>
          <c:w val="0.50038114592173533"/>
          <c:h val="7.4829931972789129E-2"/>
        </c:manualLayout>
      </c:layout>
      <c:spPr>
        <a:solidFill>
          <a:srgbClr val="FFFFFF"/>
        </a:solidFill>
        <a:ln w="3176">
          <a:solidFill>
            <a:srgbClr val="000000"/>
          </a:solidFill>
          <a:prstDash val="solid"/>
        </a:ln>
      </c:spPr>
      <c:txPr>
        <a:bodyPr/>
        <a:lstStyle/>
        <a:p>
          <a:pPr>
            <a:defRPr sz="1426"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451"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01" b="1" i="0" u="none" strike="noStrike" baseline="0">
                <a:solidFill>
                  <a:srgbClr val="000000"/>
                </a:solidFill>
                <a:latin typeface="仿宋"/>
                <a:ea typeface="仿宋"/>
                <a:cs typeface="仿宋"/>
              </a:defRPr>
            </a:pPr>
            <a:r>
              <a:rPr lang="zh-CN" altLang="en-US"/>
              <a:t>图表</a:t>
            </a:r>
            <a:r>
              <a:rPr lang="en-US" altLang="zh-CN"/>
              <a:t>2 </a:t>
            </a:r>
            <a:r>
              <a:rPr lang="zh-CN" altLang="en-US"/>
              <a:t>和龙法院收结案件对比图</a:t>
            </a:r>
          </a:p>
        </c:rich>
      </c:tx>
      <c:layout>
        <c:manualLayout>
          <c:xMode val="edge"/>
          <c:yMode val="edge"/>
          <c:x val="0.25524475524475532"/>
          <c:y val="3.6734693877551045E-2"/>
        </c:manualLayout>
      </c:layout>
      <c:spPr>
        <a:noFill/>
        <a:ln w="25414">
          <a:noFill/>
        </a:ln>
      </c:spPr>
    </c:title>
    <c:plotArea>
      <c:layout>
        <c:manualLayout>
          <c:layoutTarget val="inner"/>
          <c:xMode val="edge"/>
          <c:yMode val="edge"/>
          <c:x val="0.16258741258741438"/>
          <c:y val="0.29387755102041074"/>
          <c:w val="0.80244755244755261"/>
          <c:h val="0.43673469387755465"/>
        </c:manualLayout>
      </c:layout>
      <c:barChart>
        <c:barDir val="col"/>
        <c:grouping val="clustered"/>
        <c:ser>
          <c:idx val="0"/>
          <c:order val="0"/>
          <c:tx>
            <c:strRef>
              <c:f>Sheet1!$A$2</c:f>
              <c:strCache>
                <c:ptCount val="1"/>
                <c:pt idx="0">
                  <c:v>2017年三季度</c:v>
                </c:pt>
              </c:strCache>
            </c:strRef>
          </c:tx>
          <c:spPr>
            <a:solidFill>
              <a:srgbClr val="008080"/>
            </a:solidFill>
            <a:ln w="12707">
              <a:solidFill>
                <a:srgbClr val="000000"/>
              </a:solidFill>
              <a:prstDash val="solid"/>
            </a:ln>
          </c:spPr>
          <c:dLbls>
            <c:spPr>
              <a:noFill/>
              <a:ln w="25414">
                <a:noFill/>
              </a:ln>
            </c:spPr>
            <c:txPr>
              <a:bodyPr/>
              <a:lstStyle/>
              <a:p>
                <a:pPr>
                  <a:defRPr sz="800" b="0" i="0" u="none" strike="noStrike" baseline="0">
                    <a:solidFill>
                      <a:srgbClr val="000000"/>
                    </a:solidFill>
                    <a:latin typeface="宋体"/>
                    <a:ea typeface="宋体"/>
                    <a:cs typeface="宋体"/>
                  </a:defRPr>
                </a:pPr>
                <a:endParaRPr lang="zh-CN"/>
              </a:p>
            </c:txPr>
            <c:showVal val="1"/>
          </c:dLbls>
          <c:cat>
            <c:strRef>
              <c:f>Sheet1!$B$1:$F$1</c:f>
              <c:strCache>
                <c:ptCount val="5"/>
                <c:pt idx="0">
                  <c:v>旧存</c:v>
                </c:pt>
                <c:pt idx="1">
                  <c:v>新收</c:v>
                </c:pt>
                <c:pt idx="2">
                  <c:v>未结</c:v>
                </c:pt>
                <c:pt idx="3">
                  <c:v>已结</c:v>
                </c:pt>
                <c:pt idx="4">
                  <c:v>受理总计</c:v>
                </c:pt>
              </c:strCache>
            </c:strRef>
          </c:cat>
          <c:val>
            <c:numRef>
              <c:f>Sheet1!$B$2:$F$2</c:f>
              <c:numCache>
                <c:formatCode>General</c:formatCode>
                <c:ptCount val="5"/>
                <c:pt idx="0">
                  <c:v>212</c:v>
                </c:pt>
                <c:pt idx="1">
                  <c:v>1765</c:v>
                </c:pt>
                <c:pt idx="2">
                  <c:v>565</c:v>
                </c:pt>
                <c:pt idx="3">
                  <c:v>1412</c:v>
                </c:pt>
                <c:pt idx="4">
                  <c:v>1977</c:v>
                </c:pt>
              </c:numCache>
            </c:numRef>
          </c:val>
        </c:ser>
        <c:ser>
          <c:idx val="1"/>
          <c:order val="1"/>
          <c:tx>
            <c:strRef>
              <c:f>Sheet1!$A$3</c:f>
              <c:strCache>
                <c:ptCount val="1"/>
                <c:pt idx="0">
                  <c:v>2016年三季度</c:v>
                </c:pt>
              </c:strCache>
            </c:strRef>
          </c:tx>
          <c:spPr>
            <a:solidFill>
              <a:srgbClr val="FF8080"/>
            </a:solidFill>
            <a:ln w="12707">
              <a:solidFill>
                <a:srgbClr val="000000"/>
              </a:solidFill>
              <a:prstDash val="solid"/>
            </a:ln>
          </c:spPr>
          <c:dLbls>
            <c:spPr>
              <a:noFill/>
              <a:ln w="25414">
                <a:noFill/>
              </a:ln>
            </c:spPr>
            <c:txPr>
              <a:bodyPr/>
              <a:lstStyle/>
              <a:p>
                <a:pPr>
                  <a:defRPr sz="800" b="0" i="0" u="none" strike="noStrike" baseline="0">
                    <a:solidFill>
                      <a:srgbClr val="000000"/>
                    </a:solidFill>
                    <a:latin typeface="宋体"/>
                    <a:ea typeface="宋体"/>
                    <a:cs typeface="宋体"/>
                  </a:defRPr>
                </a:pPr>
                <a:endParaRPr lang="zh-CN"/>
              </a:p>
            </c:txPr>
            <c:showVal val="1"/>
          </c:dLbls>
          <c:cat>
            <c:strRef>
              <c:f>Sheet1!$B$1:$F$1</c:f>
              <c:strCache>
                <c:ptCount val="5"/>
                <c:pt idx="0">
                  <c:v>旧存</c:v>
                </c:pt>
                <c:pt idx="1">
                  <c:v>新收</c:v>
                </c:pt>
                <c:pt idx="2">
                  <c:v>未结</c:v>
                </c:pt>
                <c:pt idx="3">
                  <c:v>已结</c:v>
                </c:pt>
                <c:pt idx="4">
                  <c:v>受理总计</c:v>
                </c:pt>
              </c:strCache>
            </c:strRef>
          </c:cat>
          <c:val>
            <c:numRef>
              <c:f>Sheet1!$B$3:$F$3</c:f>
              <c:numCache>
                <c:formatCode>General</c:formatCode>
                <c:ptCount val="5"/>
                <c:pt idx="0">
                  <c:v>260</c:v>
                </c:pt>
                <c:pt idx="1">
                  <c:v>1445</c:v>
                </c:pt>
                <c:pt idx="2">
                  <c:v>592</c:v>
                </c:pt>
                <c:pt idx="3">
                  <c:v>1113</c:v>
                </c:pt>
                <c:pt idx="4">
                  <c:v>1705</c:v>
                </c:pt>
              </c:numCache>
            </c:numRef>
          </c:val>
        </c:ser>
        <c:axId val="39765888"/>
        <c:axId val="39767424"/>
      </c:barChart>
      <c:catAx>
        <c:axId val="39765888"/>
        <c:scaling>
          <c:orientation val="minMax"/>
        </c:scaling>
        <c:axPos val="b"/>
        <c:numFmt formatCode="General" sourceLinked="1"/>
        <c:majorTickMark val="in"/>
        <c:tickLblPos val="nextTo"/>
        <c:spPr>
          <a:ln w="3177">
            <a:solidFill>
              <a:srgbClr val="000000"/>
            </a:solidFill>
            <a:prstDash val="solid"/>
          </a:ln>
        </c:spPr>
        <c:txPr>
          <a:bodyPr rot="0" vert="horz"/>
          <a:lstStyle/>
          <a:p>
            <a:pPr>
              <a:defRPr sz="1201" b="0" i="0" u="none" strike="noStrike" baseline="0">
                <a:solidFill>
                  <a:srgbClr val="000000"/>
                </a:solidFill>
                <a:latin typeface="宋体"/>
                <a:ea typeface="宋体"/>
                <a:cs typeface="宋体"/>
              </a:defRPr>
            </a:pPr>
            <a:endParaRPr lang="zh-CN"/>
          </a:p>
        </c:txPr>
        <c:crossAx val="39767424"/>
        <c:crosses val="autoZero"/>
        <c:auto val="1"/>
        <c:lblAlgn val="ctr"/>
        <c:lblOffset val="100"/>
        <c:tickMarkSkip val="1"/>
      </c:catAx>
      <c:valAx>
        <c:axId val="39767424"/>
        <c:scaling>
          <c:orientation val="minMax"/>
        </c:scaling>
        <c:axPos val="l"/>
        <c:majorGridlines>
          <c:spPr>
            <a:ln w="3177">
              <a:solidFill>
                <a:srgbClr val="000000"/>
              </a:solidFill>
              <a:prstDash val="solid"/>
            </a:ln>
          </c:spPr>
        </c:majorGridlines>
        <c:numFmt formatCode="General" sourceLinked="1"/>
        <c:majorTickMark val="in"/>
        <c:tickLblPos val="nextTo"/>
        <c:spPr>
          <a:ln w="3177">
            <a:solidFill>
              <a:srgbClr val="000000"/>
            </a:solidFill>
            <a:prstDash val="solid"/>
          </a:ln>
        </c:spPr>
        <c:txPr>
          <a:bodyPr rot="0" vert="horz"/>
          <a:lstStyle/>
          <a:p>
            <a:pPr>
              <a:defRPr sz="1201" b="0" i="0" u="none" strike="noStrike" baseline="0">
                <a:solidFill>
                  <a:srgbClr val="000000"/>
                </a:solidFill>
                <a:latin typeface="宋体"/>
                <a:ea typeface="宋体"/>
                <a:cs typeface="宋体"/>
              </a:defRPr>
            </a:pPr>
            <a:endParaRPr lang="zh-CN"/>
          </a:p>
        </c:txPr>
        <c:crossAx val="39765888"/>
        <c:crosses val="autoZero"/>
        <c:crossBetween val="between"/>
      </c:valAx>
      <c:dTable>
        <c:showHorzBorder val="1"/>
        <c:showVertBorder val="1"/>
        <c:showKeys val="1"/>
        <c:spPr>
          <a:ln w="3177">
            <a:solidFill>
              <a:srgbClr val="000000"/>
            </a:solidFill>
            <a:prstDash val="solid"/>
          </a:ln>
        </c:spPr>
        <c:txPr>
          <a:bodyPr/>
          <a:lstStyle/>
          <a:p>
            <a:pPr rtl="0">
              <a:defRPr sz="901" b="0" i="0" u="none" strike="noStrike" baseline="0">
                <a:solidFill>
                  <a:srgbClr val="000000"/>
                </a:solidFill>
                <a:latin typeface="仿宋"/>
                <a:ea typeface="仿宋"/>
                <a:cs typeface="仿宋"/>
              </a:defRPr>
            </a:pPr>
            <a:endParaRPr lang="zh-CN"/>
          </a:p>
        </c:txPr>
      </c:dTable>
      <c:spPr>
        <a:solidFill>
          <a:srgbClr val="FFFFFF"/>
        </a:solidFill>
        <a:ln w="12707">
          <a:solidFill>
            <a:srgbClr val="000000"/>
          </a:solidFill>
          <a:prstDash val="solid"/>
        </a:ln>
      </c:spPr>
    </c:plotArea>
    <c:plotVisOnly val="1"/>
    <c:dispBlanksAs val="gap"/>
  </c:chart>
  <c:spPr>
    <a:noFill/>
    <a:ln>
      <a:noFill/>
    </a:ln>
  </c:spPr>
  <c:txPr>
    <a:bodyPr/>
    <a:lstStyle/>
    <a:p>
      <a:pPr>
        <a:defRPr sz="1201"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style val="10"/>
  <c:chart>
    <c:title>
      <c:tx>
        <c:rich>
          <a:bodyPr/>
          <a:lstStyle/>
          <a:p>
            <a:pPr>
              <a:defRPr sz="1400" b="1">
                <a:latin typeface="仿宋" pitchFamily="49" charset="-122"/>
                <a:ea typeface="仿宋" pitchFamily="49" charset="-122"/>
              </a:defRPr>
            </a:pPr>
            <a:r>
              <a:rPr lang="zh-CN" altLang="en-US" sz="1400">
                <a:latin typeface="仿宋" pitchFamily="49" charset="-122"/>
                <a:ea typeface="仿宋" pitchFamily="49" charset="-122"/>
              </a:rPr>
              <a:t>图表</a:t>
            </a:r>
            <a:r>
              <a:rPr lang="en-US" altLang="zh-CN" sz="1400">
                <a:latin typeface="仿宋" pitchFamily="49" charset="-122"/>
                <a:ea typeface="仿宋" pitchFamily="49" charset="-122"/>
              </a:rPr>
              <a:t>3   </a:t>
            </a:r>
            <a:r>
              <a:rPr lang="zh-CN" altLang="en-US" sz="1400">
                <a:latin typeface="仿宋" pitchFamily="49" charset="-122"/>
                <a:ea typeface="仿宋" pitchFamily="49" charset="-122"/>
              </a:rPr>
              <a:t>全院新收案件构成情况对比图</a:t>
            </a:r>
          </a:p>
        </c:rich>
      </c:tx>
    </c:title>
    <c:view3D>
      <c:rotX val="30"/>
      <c:perspective val="0"/>
    </c:view3D>
    <c:plotArea>
      <c:layout>
        <c:manualLayout>
          <c:layoutTarget val="inner"/>
          <c:xMode val="edge"/>
          <c:yMode val="edge"/>
          <c:x val="0.20925295019860354"/>
          <c:y val="0.25842144974613329"/>
          <c:w val="0.62773483610670511"/>
          <c:h val="0.59350234453521322"/>
        </c:manualLayout>
      </c:layout>
      <c:pie3DChart>
        <c:varyColors val="1"/>
        <c:ser>
          <c:idx val="0"/>
          <c:order val="0"/>
          <c:tx>
            <c:strRef>
              <c:f>Sheet1!$B$1</c:f>
              <c:strCache>
                <c:ptCount val="1"/>
                <c:pt idx="0">
                  <c:v>图表3   全院新收案件构成情况对比图</c:v>
                </c:pt>
              </c:strCache>
            </c:strRef>
          </c:tx>
          <c:explosion val="8"/>
          <c:dPt>
            <c:idx val="2"/>
            <c:explosion val="10"/>
          </c:dPt>
          <c:dLbls>
            <c:dLbl>
              <c:idx val="0"/>
              <c:layout>
                <c:manualLayout>
                  <c:x val="-5.5011402360723584E-2"/>
                  <c:y val="2.1896745099188159E-3"/>
                </c:manualLayout>
              </c:layout>
              <c:tx>
                <c:rich>
                  <a:bodyPr/>
                  <a:lstStyle/>
                  <a:p>
                    <a:r>
                      <a:rPr lang="zh-CN" altLang="en-US" sz="900">
                        <a:latin typeface="仿宋" pitchFamily="49" charset="-122"/>
                        <a:ea typeface="仿宋" pitchFamily="49" charset="-122"/>
                      </a:rPr>
                      <a:t>刑事</a:t>
                    </a:r>
                    <a:r>
                      <a:rPr lang="en-US" altLang="zh-CN" sz="900">
                        <a:latin typeface="仿宋" pitchFamily="49" charset="-122"/>
                        <a:ea typeface="仿宋" pitchFamily="49" charset="-122"/>
                      </a:rPr>
                      <a:t>, 102</a:t>
                    </a:r>
                    <a:r>
                      <a:rPr lang="zh-CN" altLang="en-US" sz="900">
                        <a:latin typeface="仿宋" pitchFamily="49" charset="-122"/>
                        <a:ea typeface="仿宋" pitchFamily="49" charset="-122"/>
                      </a:rPr>
                      <a:t>件</a:t>
                    </a:r>
                    <a:r>
                      <a:rPr lang="en-US" altLang="zh-CN" sz="900">
                        <a:latin typeface="仿宋" pitchFamily="49" charset="-122"/>
                        <a:ea typeface="仿宋" pitchFamily="49" charset="-122"/>
                      </a:rPr>
                      <a:t>, </a:t>
                    </a:r>
                    <a:r>
                      <a:rPr lang="zh-CN" altLang="en-US" sz="900">
                        <a:latin typeface="仿宋" pitchFamily="49" charset="-122"/>
                        <a:ea typeface="仿宋" pitchFamily="49" charset="-122"/>
                      </a:rPr>
                      <a:t>占比</a:t>
                    </a:r>
                    <a:r>
                      <a:rPr lang="en-US" altLang="zh-CN" sz="900">
                        <a:latin typeface="仿宋" pitchFamily="49" charset="-122"/>
                        <a:ea typeface="仿宋" pitchFamily="49" charset="-122"/>
                      </a:rPr>
                      <a:t>5.78%</a:t>
                    </a:r>
                    <a:endParaRPr lang="zh-CN" altLang="en-US" sz="900">
                      <a:latin typeface="仿宋" pitchFamily="49" charset="-122"/>
                      <a:ea typeface="仿宋" pitchFamily="49" charset="-122"/>
                    </a:endParaRPr>
                  </a:p>
                </c:rich>
              </c:tx>
              <c:dLblPos val="bestFit"/>
              <c:showVal val="1"/>
              <c:showCatName val="1"/>
              <c:showPercent val="1"/>
            </c:dLbl>
            <c:dLbl>
              <c:idx val="1"/>
              <c:layout>
                <c:manualLayout>
                  <c:x val="4.4053513951778867E-2"/>
                  <c:y val="6.5598358853461713E-2"/>
                </c:manualLayout>
              </c:layout>
              <c:tx>
                <c:rich>
                  <a:bodyPr/>
                  <a:lstStyle/>
                  <a:p>
                    <a:r>
                      <a:rPr lang="zh-CN" altLang="en-US">
                        <a:latin typeface="仿宋" pitchFamily="49" charset="-122"/>
                        <a:ea typeface="仿宋" pitchFamily="49" charset="-122"/>
                      </a:rPr>
                      <a:t>刑罚变更</a:t>
                    </a:r>
                    <a:r>
                      <a:rPr lang="en-US" altLang="zh-CN">
                        <a:latin typeface="仿宋" pitchFamily="49" charset="-122"/>
                        <a:ea typeface="仿宋" pitchFamily="49" charset="-122"/>
                      </a:rPr>
                      <a:t>, 4</a:t>
                    </a:r>
                    <a:r>
                      <a:rPr lang="zh-CN" altLang="en-US">
                        <a:latin typeface="仿宋" pitchFamily="49" charset="-122"/>
                        <a:ea typeface="仿宋" pitchFamily="49" charset="-122"/>
                      </a:rPr>
                      <a:t>件</a:t>
                    </a:r>
                    <a:r>
                      <a:rPr lang="en-US" altLang="zh-CN">
                        <a:latin typeface="仿宋" pitchFamily="49" charset="-122"/>
                        <a:ea typeface="仿宋" pitchFamily="49" charset="-122"/>
                      </a:rPr>
                      <a:t>, </a:t>
                    </a:r>
                    <a:r>
                      <a:rPr lang="zh-CN" altLang="en-US">
                        <a:latin typeface="仿宋" pitchFamily="49" charset="-122"/>
                        <a:ea typeface="仿宋" pitchFamily="49" charset="-122"/>
                      </a:rPr>
                      <a:t>占比</a:t>
                    </a:r>
                    <a:r>
                      <a:rPr lang="en-US" altLang="zh-CN">
                        <a:latin typeface="仿宋" pitchFamily="49" charset="-122"/>
                        <a:ea typeface="仿宋" pitchFamily="49" charset="-122"/>
                      </a:rPr>
                      <a:t>0.23%</a:t>
                    </a:r>
                    <a:endParaRPr lang="zh-CN" altLang="en-US">
                      <a:latin typeface="仿宋" pitchFamily="49" charset="-122"/>
                      <a:ea typeface="仿宋" pitchFamily="49" charset="-122"/>
                    </a:endParaRPr>
                  </a:p>
                </c:rich>
              </c:tx>
              <c:dLblPos val="bestFit"/>
              <c:showVal val="1"/>
              <c:showCatName val="1"/>
              <c:showPercent val="1"/>
            </c:dLbl>
            <c:dLbl>
              <c:idx val="2"/>
              <c:layout>
                <c:manualLayout>
                  <c:x val="-0.20588308851803191"/>
                  <c:y val="-0.14534199228522451"/>
                </c:manualLayout>
              </c:layout>
              <c:tx>
                <c:rich>
                  <a:bodyPr/>
                  <a:lstStyle/>
                  <a:p>
                    <a:r>
                      <a:rPr lang="zh-CN" altLang="en-US" sz="900">
                        <a:latin typeface="仿宋" pitchFamily="49" charset="-122"/>
                        <a:ea typeface="仿宋" pitchFamily="49" charset="-122"/>
                      </a:rPr>
                      <a:t>民事</a:t>
                    </a:r>
                    <a:r>
                      <a:rPr lang="en-US" altLang="zh-CN" sz="900">
                        <a:latin typeface="仿宋" pitchFamily="49" charset="-122"/>
                        <a:ea typeface="仿宋" pitchFamily="49" charset="-122"/>
                      </a:rPr>
                      <a:t>, 1015</a:t>
                    </a:r>
                    <a:r>
                      <a:rPr lang="zh-CN" altLang="en-US" sz="900">
                        <a:latin typeface="仿宋" pitchFamily="49" charset="-122"/>
                        <a:ea typeface="仿宋" pitchFamily="49" charset="-122"/>
                      </a:rPr>
                      <a:t>件</a:t>
                    </a:r>
                    <a:r>
                      <a:rPr lang="en-US" altLang="zh-CN" sz="900">
                        <a:latin typeface="仿宋" pitchFamily="49" charset="-122"/>
                        <a:ea typeface="仿宋" pitchFamily="49" charset="-122"/>
                      </a:rPr>
                      <a:t>, </a:t>
                    </a:r>
                    <a:r>
                      <a:rPr lang="zh-CN" altLang="en-US" sz="900">
                        <a:latin typeface="仿宋" pitchFamily="49" charset="-122"/>
                        <a:ea typeface="仿宋" pitchFamily="49" charset="-122"/>
                      </a:rPr>
                      <a:t>占比</a:t>
                    </a:r>
                    <a:r>
                      <a:rPr lang="en-US" altLang="zh-CN" sz="900">
                        <a:latin typeface="仿宋" pitchFamily="49" charset="-122"/>
                        <a:ea typeface="仿宋" pitchFamily="49" charset="-122"/>
                      </a:rPr>
                      <a:t>57.51%</a:t>
                    </a:r>
                    <a:endParaRPr lang="zh-CN" altLang="en-US" sz="900">
                      <a:latin typeface="仿宋" pitchFamily="49" charset="-122"/>
                      <a:ea typeface="仿宋" pitchFamily="49" charset="-122"/>
                    </a:endParaRPr>
                  </a:p>
                </c:rich>
              </c:tx>
              <c:dLblPos val="bestFit"/>
              <c:showVal val="1"/>
              <c:showCatName val="1"/>
              <c:showPercent val="1"/>
            </c:dLbl>
            <c:dLbl>
              <c:idx val="3"/>
              <c:layout>
                <c:manualLayout>
                  <c:x val="4.7288580960071304E-2"/>
                  <c:y val="5.4663639769245563E-2"/>
                </c:manualLayout>
              </c:layout>
              <c:tx>
                <c:rich>
                  <a:bodyPr/>
                  <a:lstStyle/>
                  <a:p>
                    <a:r>
                      <a:rPr lang="zh-CN" altLang="en-US" sz="900">
                        <a:latin typeface="仿宋" pitchFamily="49" charset="-122"/>
                        <a:ea typeface="仿宋" pitchFamily="49" charset="-122"/>
                      </a:rPr>
                      <a:t>行政</a:t>
                    </a:r>
                    <a:r>
                      <a:rPr lang="en-US" altLang="zh-CN" sz="900">
                        <a:latin typeface="仿宋" pitchFamily="49" charset="-122"/>
                        <a:ea typeface="仿宋" pitchFamily="49" charset="-122"/>
                      </a:rPr>
                      <a:t>, 45</a:t>
                    </a:r>
                    <a:r>
                      <a:rPr lang="zh-CN" altLang="en-US" sz="900">
                        <a:latin typeface="仿宋" pitchFamily="49" charset="-122"/>
                        <a:ea typeface="仿宋" pitchFamily="49" charset="-122"/>
                      </a:rPr>
                      <a:t>件</a:t>
                    </a:r>
                    <a:r>
                      <a:rPr lang="en-US" altLang="zh-CN" sz="900">
                        <a:latin typeface="仿宋" pitchFamily="49" charset="-122"/>
                        <a:ea typeface="仿宋" pitchFamily="49" charset="-122"/>
                      </a:rPr>
                      <a:t>, </a:t>
                    </a:r>
                    <a:r>
                      <a:rPr lang="zh-CN" altLang="en-US" sz="900">
                        <a:latin typeface="仿宋" pitchFamily="49" charset="-122"/>
                        <a:ea typeface="仿宋" pitchFamily="49" charset="-122"/>
                      </a:rPr>
                      <a:t>占比</a:t>
                    </a:r>
                    <a:r>
                      <a:rPr lang="en-US" altLang="zh-CN" sz="900">
                        <a:latin typeface="仿宋" pitchFamily="49" charset="-122"/>
                        <a:ea typeface="仿宋" pitchFamily="49" charset="-122"/>
                      </a:rPr>
                      <a:t>2.55%</a:t>
                    </a:r>
                    <a:endParaRPr lang="zh-CN" altLang="en-US" sz="900">
                      <a:latin typeface="仿宋" pitchFamily="49" charset="-122"/>
                      <a:ea typeface="仿宋" pitchFamily="49" charset="-122"/>
                    </a:endParaRPr>
                  </a:p>
                </c:rich>
              </c:tx>
              <c:dLblPos val="bestFit"/>
              <c:showVal val="1"/>
              <c:showCatName val="1"/>
              <c:showPercent val="1"/>
            </c:dLbl>
            <c:dLbl>
              <c:idx val="4"/>
              <c:layout>
                <c:manualLayout>
                  <c:x val="-3.1257235087972617E-2"/>
                  <c:y val="-4.9908251557135581E-2"/>
                </c:manualLayout>
              </c:layout>
              <c:tx>
                <c:rich>
                  <a:bodyPr/>
                  <a:lstStyle/>
                  <a:p>
                    <a:r>
                      <a:rPr lang="zh-CN" altLang="en-US">
                        <a:latin typeface="仿宋" pitchFamily="49" charset="-122"/>
                        <a:ea typeface="仿宋" pitchFamily="49" charset="-122"/>
                      </a:rPr>
                      <a:t>赔偿</a:t>
                    </a:r>
                    <a:r>
                      <a:rPr lang="en-US" altLang="zh-CN">
                        <a:latin typeface="仿宋" pitchFamily="49" charset="-122"/>
                        <a:ea typeface="仿宋" pitchFamily="49" charset="-122"/>
                      </a:rPr>
                      <a:t>, 5</a:t>
                    </a:r>
                    <a:r>
                      <a:rPr lang="zh-CN" altLang="en-US">
                        <a:latin typeface="仿宋" pitchFamily="49" charset="-122"/>
                        <a:ea typeface="仿宋" pitchFamily="49" charset="-122"/>
                      </a:rPr>
                      <a:t>件</a:t>
                    </a:r>
                    <a:r>
                      <a:rPr lang="en-US" altLang="zh-CN">
                        <a:latin typeface="仿宋" pitchFamily="49" charset="-122"/>
                        <a:ea typeface="仿宋" pitchFamily="49" charset="-122"/>
                      </a:rPr>
                      <a:t>, </a:t>
                    </a:r>
                    <a:r>
                      <a:rPr lang="zh-CN" altLang="en-US">
                        <a:latin typeface="仿宋" pitchFamily="49" charset="-122"/>
                        <a:ea typeface="仿宋" pitchFamily="49" charset="-122"/>
                      </a:rPr>
                      <a:t>占比</a:t>
                    </a:r>
                    <a:r>
                      <a:rPr lang="en-US" altLang="zh-CN">
                        <a:latin typeface="仿宋" pitchFamily="49" charset="-122"/>
                        <a:ea typeface="仿宋" pitchFamily="49" charset="-122"/>
                      </a:rPr>
                      <a:t>0.28%</a:t>
                    </a:r>
                    <a:endParaRPr lang="zh-CN" altLang="en-US">
                      <a:latin typeface="仿宋" pitchFamily="49" charset="-122"/>
                      <a:ea typeface="仿宋" pitchFamily="49" charset="-122"/>
                    </a:endParaRPr>
                  </a:p>
                </c:rich>
              </c:tx>
              <c:dLblPos val="bestFit"/>
              <c:showVal val="1"/>
              <c:showCatName val="1"/>
              <c:showPercent val="1"/>
            </c:dLbl>
            <c:dLbl>
              <c:idx val="5"/>
              <c:tx>
                <c:rich>
                  <a:bodyPr/>
                  <a:lstStyle/>
                  <a:p>
                    <a:r>
                      <a:rPr lang="zh-CN" altLang="en-US"/>
                      <a:t>执行</a:t>
                    </a:r>
                    <a:r>
                      <a:rPr lang="en-US" altLang="zh-CN"/>
                      <a:t>, 592</a:t>
                    </a:r>
                    <a:r>
                      <a:rPr lang="zh-CN" altLang="en-US"/>
                      <a:t>件</a:t>
                    </a:r>
                    <a:r>
                      <a:rPr lang="en-US" altLang="zh-CN"/>
                      <a:t>, </a:t>
                    </a:r>
                    <a:r>
                      <a:rPr lang="zh-CN" altLang="en-US"/>
                      <a:t>占比</a:t>
                    </a:r>
                    <a:r>
                      <a:rPr lang="en-US" altLang="zh-CN"/>
                      <a:t>33.54%</a:t>
                    </a:r>
                    <a:endParaRPr lang="zh-CN" altLang="en-US"/>
                  </a:p>
                </c:rich>
              </c:tx>
              <c:dLblPos val="bestFit"/>
              <c:showVal val="1"/>
              <c:showCatName val="1"/>
              <c:showPercent val="1"/>
            </c:dLbl>
            <c:dLbl>
              <c:idx val="6"/>
              <c:layout>
                <c:manualLayout>
                  <c:x val="-0.10236434629560739"/>
                  <c:y val="1.9300595547093114E-2"/>
                </c:manualLayout>
              </c:layout>
              <c:tx>
                <c:rich>
                  <a:bodyPr/>
                  <a:lstStyle/>
                  <a:p>
                    <a:r>
                      <a:rPr lang="zh-CN" altLang="en-US" sz="900">
                        <a:latin typeface="仿宋" pitchFamily="49" charset="-122"/>
                        <a:ea typeface="仿宋" pitchFamily="49" charset="-122"/>
                      </a:rPr>
                      <a:t>审查监督</a:t>
                    </a:r>
                    <a:r>
                      <a:rPr lang="en-US" altLang="zh-CN" sz="900">
                        <a:latin typeface="仿宋" pitchFamily="49" charset="-122"/>
                        <a:ea typeface="仿宋" pitchFamily="49" charset="-122"/>
                      </a:rPr>
                      <a:t>, 2</a:t>
                    </a:r>
                    <a:r>
                      <a:rPr lang="zh-CN" altLang="en-US" sz="900">
                        <a:latin typeface="仿宋" pitchFamily="49" charset="-122"/>
                        <a:ea typeface="仿宋" pitchFamily="49" charset="-122"/>
                      </a:rPr>
                      <a:t>件</a:t>
                    </a:r>
                    <a:r>
                      <a:rPr lang="en-US" altLang="zh-CN" sz="900">
                        <a:latin typeface="仿宋" pitchFamily="49" charset="-122"/>
                        <a:ea typeface="仿宋" pitchFamily="49" charset="-122"/>
                      </a:rPr>
                      <a:t>, </a:t>
                    </a:r>
                  </a:p>
                  <a:p>
                    <a:r>
                      <a:rPr lang="zh-CN" altLang="en-US" sz="900">
                        <a:latin typeface="仿宋" pitchFamily="49" charset="-122"/>
                        <a:ea typeface="仿宋" pitchFamily="49" charset="-122"/>
                      </a:rPr>
                      <a:t>占比</a:t>
                    </a:r>
                    <a:r>
                      <a:rPr lang="en-US" altLang="zh-CN" sz="900">
                        <a:latin typeface="仿宋" pitchFamily="49" charset="-122"/>
                        <a:ea typeface="仿宋" pitchFamily="49" charset="-122"/>
                      </a:rPr>
                      <a:t>0.11%</a:t>
                    </a:r>
                    <a:endParaRPr lang="zh-CN" altLang="en-US" sz="900">
                      <a:latin typeface="仿宋" pitchFamily="49" charset="-122"/>
                      <a:ea typeface="仿宋" pitchFamily="49" charset="-122"/>
                    </a:endParaRPr>
                  </a:p>
                </c:rich>
              </c:tx>
              <c:dLblPos val="bestFit"/>
              <c:showVal val="1"/>
              <c:showCatName val="1"/>
              <c:showPercent val="1"/>
            </c:dLbl>
            <c:numFmt formatCode="0.00%" sourceLinked="0"/>
            <c:txPr>
              <a:bodyPr/>
              <a:lstStyle/>
              <a:p>
                <a:pPr>
                  <a:defRPr sz="900">
                    <a:latin typeface="仿宋" pitchFamily="49" charset="-122"/>
                    <a:ea typeface="仿宋" pitchFamily="49" charset="-122"/>
                  </a:defRPr>
                </a:pPr>
                <a:endParaRPr lang="zh-CN"/>
              </a:p>
            </c:txPr>
            <c:dLblPos val="bestFit"/>
            <c:showVal val="1"/>
            <c:showCatName val="1"/>
            <c:showPercent val="1"/>
            <c:showLeaderLines val="1"/>
          </c:dLbls>
          <c:cat>
            <c:strRef>
              <c:f>Sheet1!$A$2:$A$8</c:f>
              <c:strCache>
                <c:ptCount val="7"/>
                <c:pt idx="0">
                  <c:v>刑事</c:v>
                </c:pt>
                <c:pt idx="1">
                  <c:v>刑罚变更</c:v>
                </c:pt>
                <c:pt idx="2">
                  <c:v>民事</c:v>
                </c:pt>
                <c:pt idx="3">
                  <c:v>行政</c:v>
                </c:pt>
                <c:pt idx="4">
                  <c:v>赔偿</c:v>
                </c:pt>
                <c:pt idx="5">
                  <c:v>执行</c:v>
                </c:pt>
                <c:pt idx="6">
                  <c:v>审查监督</c:v>
                </c:pt>
              </c:strCache>
            </c:strRef>
          </c:cat>
          <c:val>
            <c:numRef>
              <c:f>Sheet1!$B$2:$B$8</c:f>
              <c:numCache>
                <c:formatCode>General</c:formatCode>
                <c:ptCount val="7"/>
                <c:pt idx="0">
                  <c:v>102</c:v>
                </c:pt>
                <c:pt idx="1">
                  <c:v>4</c:v>
                </c:pt>
                <c:pt idx="2">
                  <c:v>1015</c:v>
                </c:pt>
                <c:pt idx="3">
                  <c:v>45</c:v>
                </c:pt>
                <c:pt idx="4">
                  <c:v>5</c:v>
                </c:pt>
                <c:pt idx="5">
                  <c:v>592</c:v>
                </c:pt>
                <c:pt idx="6">
                  <c:v>2</c:v>
                </c:pt>
              </c:numCache>
            </c:numRef>
          </c:val>
        </c:ser>
        <c:dLbls>
          <c:showCatName val="1"/>
          <c:showPercent val="1"/>
        </c:dLbls>
      </c:pie3DChart>
      <c:spPr>
        <a:noFill/>
        <a:ln w="25404">
          <a:noFill/>
        </a:ln>
      </c:spPr>
    </c:plotArea>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01" b="1" i="0" u="none" strike="noStrike" baseline="0">
                <a:solidFill>
                  <a:srgbClr val="000000"/>
                </a:solidFill>
                <a:latin typeface="仿宋"/>
                <a:ea typeface="仿宋"/>
                <a:cs typeface="仿宋"/>
              </a:defRPr>
            </a:pPr>
            <a:r>
              <a:rPr lang="zh-CN" altLang="en-US"/>
              <a:t>图表</a:t>
            </a:r>
            <a:r>
              <a:rPr lang="en-US" altLang="zh-CN"/>
              <a:t>4 </a:t>
            </a:r>
            <a:r>
              <a:rPr lang="zh-CN" altLang="en-US"/>
              <a:t>和龙法院新收案件分布图（同比）</a:t>
            </a:r>
          </a:p>
        </c:rich>
      </c:tx>
      <c:layout>
        <c:manualLayout>
          <c:xMode val="edge"/>
          <c:yMode val="edge"/>
          <c:x val="0.16081330868761554"/>
          <c:y val="3.7383177570093962E-2"/>
        </c:manualLayout>
      </c:layout>
      <c:spPr>
        <a:noFill/>
        <a:ln w="25425">
          <a:noFill/>
        </a:ln>
      </c:spPr>
    </c:title>
    <c:plotArea>
      <c:layout>
        <c:manualLayout>
          <c:layoutTarget val="inner"/>
          <c:xMode val="edge"/>
          <c:yMode val="edge"/>
          <c:x val="0.20702402957486141"/>
          <c:y val="0.3364485981308471"/>
          <c:w val="0.76524953789279626"/>
          <c:h val="0.40809968847352024"/>
        </c:manualLayout>
      </c:layout>
      <c:lineChart>
        <c:grouping val="standard"/>
        <c:ser>
          <c:idx val="0"/>
          <c:order val="0"/>
          <c:tx>
            <c:strRef>
              <c:f>Sheet1!$A$2</c:f>
              <c:strCache>
                <c:ptCount val="1"/>
                <c:pt idx="0">
                  <c:v>2017年三季度</c:v>
                </c:pt>
              </c:strCache>
            </c:strRef>
          </c:tx>
          <c:spPr>
            <a:ln w="12712">
              <a:solidFill>
                <a:srgbClr val="993366"/>
              </a:solidFill>
              <a:prstDash val="solid"/>
            </a:ln>
          </c:spPr>
          <c:marker>
            <c:symbol val="x"/>
            <c:size val="5"/>
            <c:spPr>
              <a:solidFill>
                <a:srgbClr val="993366"/>
              </a:solidFill>
              <a:ln>
                <a:solidFill>
                  <a:srgbClr val="993366"/>
                </a:solidFill>
                <a:prstDash val="solid"/>
              </a:ln>
            </c:spPr>
          </c:marker>
          <c:cat>
            <c:strRef>
              <c:f>Sheet1!$B$1:$K$1</c:f>
              <c:strCache>
                <c:ptCount val="10"/>
                <c:pt idx="0">
                  <c:v>立案庭</c:v>
                </c:pt>
                <c:pt idx="1">
                  <c:v>刑庭</c:v>
                </c:pt>
                <c:pt idx="2">
                  <c:v>民一庭</c:v>
                </c:pt>
                <c:pt idx="3">
                  <c:v>民二庭</c:v>
                </c:pt>
                <c:pt idx="4">
                  <c:v>头道法庭</c:v>
                </c:pt>
                <c:pt idx="5">
                  <c:v>行政庭</c:v>
                </c:pt>
                <c:pt idx="6">
                  <c:v>审监庭</c:v>
                </c:pt>
                <c:pt idx="7">
                  <c:v>执行一科</c:v>
                </c:pt>
                <c:pt idx="8">
                  <c:v>执行二科</c:v>
                </c:pt>
                <c:pt idx="9">
                  <c:v>综合科</c:v>
                </c:pt>
              </c:strCache>
            </c:strRef>
          </c:cat>
          <c:val>
            <c:numRef>
              <c:f>Sheet1!$B$2:$K$2</c:f>
              <c:numCache>
                <c:formatCode>General</c:formatCode>
                <c:ptCount val="10"/>
                <c:pt idx="0">
                  <c:v>7</c:v>
                </c:pt>
                <c:pt idx="1">
                  <c:v>106</c:v>
                </c:pt>
                <c:pt idx="2">
                  <c:v>375</c:v>
                </c:pt>
                <c:pt idx="3">
                  <c:v>391</c:v>
                </c:pt>
                <c:pt idx="4">
                  <c:v>244</c:v>
                </c:pt>
                <c:pt idx="5">
                  <c:v>46</c:v>
                </c:pt>
                <c:pt idx="6">
                  <c:v>4</c:v>
                </c:pt>
                <c:pt idx="7">
                  <c:v>271</c:v>
                </c:pt>
                <c:pt idx="8">
                  <c:v>309</c:v>
                </c:pt>
                <c:pt idx="9">
                  <c:v>12</c:v>
                </c:pt>
              </c:numCache>
            </c:numRef>
          </c:val>
        </c:ser>
        <c:ser>
          <c:idx val="1"/>
          <c:order val="1"/>
          <c:tx>
            <c:strRef>
              <c:f>Sheet1!$A$3</c:f>
              <c:strCache>
                <c:ptCount val="1"/>
                <c:pt idx="0">
                  <c:v>2016年三季度</c:v>
                </c:pt>
              </c:strCache>
            </c:strRef>
          </c:tx>
          <c:spPr>
            <a:ln w="12712">
              <a:solidFill>
                <a:srgbClr val="666699"/>
              </a:solidFill>
              <a:prstDash val="solid"/>
            </a:ln>
          </c:spPr>
          <c:marker>
            <c:symbol val="diamond"/>
            <c:size val="5"/>
            <c:spPr>
              <a:solidFill>
                <a:srgbClr val="666699"/>
              </a:solidFill>
              <a:ln>
                <a:solidFill>
                  <a:srgbClr val="666699"/>
                </a:solidFill>
                <a:prstDash val="solid"/>
              </a:ln>
            </c:spPr>
          </c:marker>
          <c:cat>
            <c:strRef>
              <c:f>Sheet1!$B$1:$K$1</c:f>
              <c:strCache>
                <c:ptCount val="10"/>
                <c:pt idx="0">
                  <c:v>立案庭</c:v>
                </c:pt>
                <c:pt idx="1">
                  <c:v>刑庭</c:v>
                </c:pt>
                <c:pt idx="2">
                  <c:v>民一庭</c:v>
                </c:pt>
                <c:pt idx="3">
                  <c:v>民二庭</c:v>
                </c:pt>
                <c:pt idx="4">
                  <c:v>头道法庭</c:v>
                </c:pt>
                <c:pt idx="5">
                  <c:v>行政庭</c:v>
                </c:pt>
                <c:pt idx="6">
                  <c:v>审监庭</c:v>
                </c:pt>
                <c:pt idx="7">
                  <c:v>执行一科</c:v>
                </c:pt>
                <c:pt idx="8">
                  <c:v>执行二科</c:v>
                </c:pt>
                <c:pt idx="9">
                  <c:v>综合科</c:v>
                </c:pt>
              </c:strCache>
            </c:strRef>
          </c:cat>
          <c:val>
            <c:numRef>
              <c:f>Sheet1!$B$3:$K$3</c:f>
              <c:numCache>
                <c:formatCode>General</c:formatCode>
                <c:ptCount val="10"/>
                <c:pt idx="0">
                  <c:v>3</c:v>
                </c:pt>
                <c:pt idx="1">
                  <c:v>108</c:v>
                </c:pt>
                <c:pt idx="2">
                  <c:v>306</c:v>
                </c:pt>
                <c:pt idx="3">
                  <c:v>308</c:v>
                </c:pt>
                <c:pt idx="4">
                  <c:v>196</c:v>
                </c:pt>
                <c:pt idx="5">
                  <c:v>37</c:v>
                </c:pt>
                <c:pt idx="6">
                  <c:v>5</c:v>
                </c:pt>
                <c:pt idx="7">
                  <c:v>204</c:v>
                </c:pt>
                <c:pt idx="8">
                  <c:v>268</c:v>
                </c:pt>
                <c:pt idx="9">
                  <c:v>10</c:v>
                </c:pt>
              </c:numCache>
            </c:numRef>
          </c:val>
        </c:ser>
        <c:marker val="1"/>
        <c:axId val="80095872"/>
        <c:axId val="80179968"/>
      </c:lineChart>
      <c:catAx>
        <c:axId val="80095872"/>
        <c:scaling>
          <c:orientation val="minMax"/>
        </c:scaling>
        <c:axPos val="b"/>
        <c:numFmt formatCode="General" sourceLinked="1"/>
        <c:majorTickMark val="in"/>
        <c:tickLblPos val="nextTo"/>
        <c:spPr>
          <a:ln w="3178">
            <a:solidFill>
              <a:srgbClr val="000000"/>
            </a:solidFill>
            <a:prstDash val="solid"/>
          </a:ln>
        </c:spPr>
        <c:txPr>
          <a:bodyPr rot="0" vert="horz"/>
          <a:lstStyle/>
          <a:p>
            <a:pPr>
              <a:defRPr sz="1577" b="0" i="0" u="none" strike="noStrike" baseline="0">
                <a:solidFill>
                  <a:srgbClr val="000000"/>
                </a:solidFill>
                <a:latin typeface="宋体"/>
                <a:ea typeface="宋体"/>
                <a:cs typeface="宋体"/>
              </a:defRPr>
            </a:pPr>
            <a:endParaRPr lang="zh-CN"/>
          </a:p>
        </c:txPr>
        <c:crossAx val="80179968"/>
        <c:crosses val="autoZero"/>
        <c:auto val="1"/>
        <c:lblAlgn val="ctr"/>
        <c:lblOffset val="100"/>
        <c:tickMarkSkip val="1"/>
      </c:catAx>
      <c:valAx>
        <c:axId val="80179968"/>
        <c:scaling>
          <c:orientation val="minMax"/>
        </c:scaling>
        <c:axPos val="l"/>
        <c:majorGridlines>
          <c:spPr>
            <a:ln w="3178">
              <a:solidFill>
                <a:srgbClr val="000000"/>
              </a:solidFill>
              <a:prstDash val="solid"/>
            </a:ln>
          </c:spPr>
        </c:majorGridlines>
        <c:minorGridlines>
          <c:spPr>
            <a:ln w="3178">
              <a:solidFill>
                <a:srgbClr val="000000"/>
              </a:solidFill>
              <a:prstDash val="solid"/>
            </a:ln>
          </c:spPr>
        </c:minorGridlines>
        <c:numFmt formatCode="General" sourceLinked="1"/>
        <c:majorTickMark val="in"/>
        <c:tickLblPos val="nextTo"/>
        <c:spPr>
          <a:ln w="3178">
            <a:solidFill>
              <a:srgbClr val="000000"/>
            </a:solidFill>
            <a:prstDash val="solid"/>
          </a:ln>
        </c:spPr>
        <c:txPr>
          <a:bodyPr rot="0" vert="horz"/>
          <a:lstStyle/>
          <a:p>
            <a:pPr>
              <a:defRPr sz="1577" b="0" i="0" u="none" strike="noStrike" baseline="0">
                <a:solidFill>
                  <a:srgbClr val="000000"/>
                </a:solidFill>
                <a:latin typeface="宋体"/>
                <a:ea typeface="宋体"/>
                <a:cs typeface="宋体"/>
              </a:defRPr>
            </a:pPr>
            <a:endParaRPr lang="zh-CN"/>
          </a:p>
        </c:txPr>
        <c:crossAx val="80095872"/>
        <c:crosses val="autoZero"/>
        <c:crossBetween val="between"/>
      </c:valAx>
      <c:dTable>
        <c:showHorzBorder val="1"/>
        <c:showVertBorder val="1"/>
        <c:showKeys val="1"/>
        <c:spPr>
          <a:ln w="3178">
            <a:solidFill>
              <a:srgbClr val="000000"/>
            </a:solidFill>
            <a:prstDash val="solid"/>
          </a:ln>
        </c:spPr>
        <c:txPr>
          <a:bodyPr/>
          <a:lstStyle/>
          <a:p>
            <a:pPr rtl="0">
              <a:defRPr sz="901" b="0" i="0" u="none" strike="noStrike" baseline="0">
                <a:solidFill>
                  <a:srgbClr val="000000"/>
                </a:solidFill>
                <a:latin typeface="仿宋"/>
                <a:ea typeface="仿宋"/>
                <a:cs typeface="仿宋"/>
              </a:defRPr>
            </a:pPr>
            <a:endParaRPr lang="zh-CN"/>
          </a:p>
        </c:txPr>
      </c:dTable>
      <c:spPr>
        <a:solidFill>
          <a:srgbClr val="FFFFFF"/>
        </a:solidFill>
        <a:ln w="12712">
          <a:solidFill>
            <a:srgbClr val="000000"/>
          </a:solidFill>
          <a:prstDash val="solid"/>
        </a:ln>
      </c:spPr>
    </c:plotArea>
    <c:legend>
      <c:legendPos val="t"/>
      <c:legendEntry>
        <c:idx val="0"/>
        <c:txPr>
          <a:bodyPr/>
          <a:lstStyle/>
          <a:p>
            <a:pPr>
              <a:defRPr sz="826" b="0" i="0" u="none" strike="noStrike" baseline="0">
                <a:solidFill>
                  <a:srgbClr val="000000"/>
                </a:solidFill>
                <a:latin typeface="宋体"/>
                <a:ea typeface="宋体"/>
                <a:cs typeface="宋体"/>
              </a:defRPr>
            </a:pPr>
            <a:endParaRPr lang="zh-CN"/>
          </a:p>
        </c:txPr>
      </c:legendEntry>
      <c:legendEntry>
        <c:idx val="1"/>
        <c:txPr>
          <a:bodyPr/>
          <a:lstStyle/>
          <a:p>
            <a:pPr>
              <a:defRPr sz="826" b="0" i="0" u="none" strike="noStrike" baseline="0">
                <a:solidFill>
                  <a:srgbClr val="000000"/>
                </a:solidFill>
                <a:latin typeface="宋体"/>
                <a:ea typeface="宋体"/>
                <a:cs typeface="宋体"/>
              </a:defRPr>
            </a:pPr>
            <a:endParaRPr lang="zh-CN"/>
          </a:p>
        </c:txPr>
      </c:legendEntry>
      <c:layout>
        <c:manualLayout>
          <c:xMode val="edge"/>
          <c:yMode val="edge"/>
          <c:x val="0.28280961182994907"/>
          <c:y val="0.15264797507788191"/>
          <c:w val="0.50092421441774493"/>
          <c:h val="6.8535825545171333E-2"/>
        </c:manualLayout>
      </c:layout>
      <c:spPr>
        <a:solidFill>
          <a:srgbClr val="FFFFFF"/>
        </a:solidFill>
        <a:ln w="3178">
          <a:solidFill>
            <a:srgbClr val="000000"/>
          </a:solidFill>
          <a:prstDash val="solid"/>
        </a:ln>
      </c:spPr>
      <c:txPr>
        <a:bodyPr/>
        <a:lstStyle/>
        <a:p>
          <a:pPr>
            <a:defRPr sz="1426"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577" b="0" i="0" u="none" strike="noStrike" baseline="0">
          <a:solidFill>
            <a:srgbClr val="000000"/>
          </a:solidFill>
          <a:latin typeface="宋体"/>
          <a:ea typeface="宋体"/>
          <a:cs typeface="宋体"/>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style val="10"/>
  <c:chart>
    <c:title>
      <c:tx>
        <c:rich>
          <a:bodyPr/>
          <a:lstStyle/>
          <a:p>
            <a:pPr>
              <a:defRPr sz="1401" b="1">
                <a:latin typeface="仿宋" pitchFamily="49" charset="-122"/>
                <a:ea typeface="仿宋" pitchFamily="49" charset="-122"/>
              </a:defRPr>
            </a:pPr>
            <a:r>
              <a:rPr lang="zh-CN" altLang="en-US" sz="1401">
                <a:latin typeface="仿宋" pitchFamily="49" charset="-122"/>
                <a:ea typeface="仿宋" pitchFamily="49" charset="-122"/>
              </a:rPr>
              <a:t>图表</a:t>
            </a:r>
            <a:r>
              <a:rPr lang="en-US" altLang="zh-CN" sz="1401">
                <a:latin typeface="仿宋" pitchFamily="49" charset="-122"/>
                <a:ea typeface="仿宋" pitchFamily="49" charset="-122"/>
              </a:rPr>
              <a:t>5   </a:t>
            </a:r>
            <a:r>
              <a:rPr lang="zh-CN" altLang="en-US" sz="1401">
                <a:latin typeface="仿宋" pitchFamily="49" charset="-122"/>
                <a:ea typeface="仿宋" pitchFamily="49" charset="-122"/>
              </a:rPr>
              <a:t>全院审结案件构成情况对比图</a:t>
            </a:r>
          </a:p>
        </c:rich>
      </c:tx>
    </c:title>
    <c:view3D>
      <c:rotX val="30"/>
      <c:perspective val="0"/>
    </c:view3D>
    <c:plotArea>
      <c:layout>
        <c:manualLayout>
          <c:layoutTarget val="inner"/>
          <c:xMode val="edge"/>
          <c:yMode val="edge"/>
          <c:x val="0.19523099850968703"/>
          <c:y val="0.22429906542056074"/>
          <c:w val="0.54098360655737765"/>
          <c:h val="0.53037383177570097"/>
        </c:manualLayout>
      </c:layout>
      <c:pie3DChart>
        <c:varyColors val="1"/>
        <c:ser>
          <c:idx val="0"/>
          <c:order val="0"/>
          <c:tx>
            <c:strRef>
              <c:f>Sheet1!$B$1</c:f>
              <c:strCache>
                <c:ptCount val="1"/>
                <c:pt idx="0">
                  <c:v>图表1   全院受理案件构成情况对比图</c:v>
                </c:pt>
              </c:strCache>
            </c:strRef>
          </c:tx>
          <c:explosion val="8"/>
          <c:dPt>
            <c:idx val="2"/>
            <c:explosion val="10"/>
          </c:dPt>
          <c:dLbls>
            <c:dLbl>
              <c:idx val="0"/>
              <c:layout>
                <c:manualLayout>
                  <c:x val="-5.5011402360723584E-2"/>
                  <c:y val="2.1896745099188159E-3"/>
                </c:manualLayout>
              </c:layout>
              <c:tx>
                <c:rich>
                  <a:bodyPr/>
                  <a:lstStyle/>
                  <a:p>
                    <a:r>
                      <a:rPr lang="zh-CN" altLang="en-US" sz="900">
                        <a:latin typeface="仿宋" pitchFamily="49" charset="-122"/>
                        <a:ea typeface="仿宋" pitchFamily="49" charset="-122"/>
                      </a:rPr>
                      <a:t>刑事
</a:t>
                    </a:r>
                    <a:r>
                      <a:rPr lang="en-US" altLang="zh-CN" sz="900">
                        <a:latin typeface="仿宋" pitchFamily="49" charset="-122"/>
                        <a:ea typeface="仿宋" pitchFamily="49" charset="-122"/>
                      </a:rPr>
                      <a:t>96</a:t>
                    </a:r>
                    <a:r>
                      <a:rPr lang="zh-CN" altLang="en-US" sz="900">
                        <a:latin typeface="仿宋" pitchFamily="49" charset="-122"/>
                        <a:ea typeface="仿宋" pitchFamily="49" charset="-122"/>
                      </a:rPr>
                      <a:t>件</a:t>
                    </a:r>
                    <a:r>
                      <a:rPr lang="en-US" altLang="zh-CN" sz="900">
                        <a:latin typeface="仿宋" pitchFamily="49" charset="-122"/>
                        <a:ea typeface="仿宋" pitchFamily="49" charset="-122"/>
                      </a:rPr>
                      <a:t>
</a:t>
                    </a:r>
                    <a:r>
                      <a:rPr lang="zh-CN" altLang="en-US" sz="900">
                        <a:latin typeface="仿宋" pitchFamily="49" charset="-122"/>
                        <a:ea typeface="仿宋" pitchFamily="49" charset="-122"/>
                      </a:rPr>
                      <a:t>占比</a:t>
                    </a:r>
                    <a:r>
                      <a:rPr lang="en-US" altLang="zh-CN" sz="900">
                        <a:latin typeface="仿宋" pitchFamily="49" charset="-122"/>
                        <a:ea typeface="仿宋" pitchFamily="49" charset="-122"/>
                      </a:rPr>
                      <a:t>6.80%</a:t>
                    </a:r>
                    <a:endParaRPr lang="zh-CN" altLang="en-US" sz="900">
                      <a:latin typeface="仿宋" pitchFamily="49" charset="-122"/>
                      <a:ea typeface="仿宋" pitchFamily="49" charset="-122"/>
                    </a:endParaRPr>
                  </a:p>
                </c:rich>
              </c:tx>
              <c:dLblPos val="bestFit"/>
              <c:showVal val="1"/>
              <c:showCatName val="1"/>
              <c:showPercent val="1"/>
            </c:dLbl>
            <c:dLbl>
              <c:idx val="1"/>
              <c:layout>
                <c:manualLayout>
                  <c:x val="4.4053468401387554E-2"/>
                  <c:y val="5.2305027175690813E-2"/>
                </c:manualLayout>
              </c:layout>
              <c:tx>
                <c:rich>
                  <a:bodyPr/>
                  <a:lstStyle/>
                  <a:p>
                    <a:r>
                      <a:rPr lang="zh-CN" altLang="en-US">
                        <a:latin typeface="仿宋" pitchFamily="49" charset="-122"/>
                        <a:ea typeface="仿宋" pitchFamily="49" charset="-122"/>
                      </a:rPr>
                      <a:t>刑罚变更
</a:t>
                    </a:r>
                    <a:r>
                      <a:rPr lang="en-US" altLang="zh-CN">
                        <a:latin typeface="仿宋" pitchFamily="49" charset="-122"/>
                        <a:ea typeface="仿宋" pitchFamily="49" charset="-122"/>
                      </a:rPr>
                      <a:t>4</a:t>
                    </a:r>
                    <a:r>
                      <a:rPr lang="zh-CN" altLang="en-US">
                        <a:latin typeface="仿宋" pitchFamily="49" charset="-122"/>
                        <a:ea typeface="仿宋" pitchFamily="49" charset="-122"/>
                      </a:rPr>
                      <a:t>件</a:t>
                    </a:r>
                    <a:r>
                      <a:rPr lang="en-US" altLang="zh-CN">
                        <a:latin typeface="仿宋" pitchFamily="49" charset="-122"/>
                        <a:ea typeface="仿宋" pitchFamily="49" charset="-122"/>
                      </a:rPr>
                      <a:t>
</a:t>
                    </a:r>
                    <a:r>
                      <a:rPr lang="zh-CN" altLang="en-US">
                        <a:latin typeface="仿宋" pitchFamily="49" charset="-122"/>
                        <a:ea typeface="仿宋" pitchFamily="49" charset="-122"/>
                      </a:rPr>
                      <a:t>占比</a:t>
                    </a:r>
                    <a:r>
                      <a:rPr lang="en-US" altLang="zh-CN">
                        <a:latin typeface="仿宋" pitchFamily="49" charset="-122"/>
                        <a:ea typeface="仿宋" pitchFamily="49" charset="-122"/>
                      </a:rPr>
                      <a:t>0.28%</a:t>
                    </a:r>
                    <a:endParaRPr lang="zh-CN" altLang="en-US">
                      <a:latin typeface="仿宋" pitchFamily="49" charset="-122"/>
                      <a:ea typeface="仿宋" pitchFamily="49" charset="-122"/>
                    </a:endParaRPr>
                  </a:p>
                </c:rich>
              </c:tx>
              <c:dLblPos val="bestFit"/>
              <c:showVal val="1"/>
              <c:showCatName val="1"/>
              <c:showPercent val="1"/>
            </c:dLbl>
            <c:dLbl>
              <c:idx val="2"/>
              <c:layout>
                <c:manualLayout>
                  <c:x val="-0.19696903205285307"/>
                  <c:y val="-0.15535608048994012"/>
                </c:manualLayout>
              </c:layout>
              <c:tx>
                <c:rich>
                  <a:bodyPr/>
                  <a:lstStyle/>
                  <a:p>
                    <a:r>
                      <a:rPr lang="zh-CN" altLang="en-US" sz="900">
                        <a:latin typeface="仿宋" pitchFamily="49" charset="-122"/>
                        <a:ea typeface="仿宋" pitchFamily="49" charset="-122"/>
                      </a:rPr>
                      <a:t>民事
</a:t>
                    </a:r>
                    <a:r>
                      <a:rPr lang="en-US" altLang="zh-CN" sz="900">
                        <a:latin typeface="仿宋" pitchFamily="49" charset="-122"/>
                        <a:ea typeface="仿宋" pitchFamily="49" charset="-122"/>
                      </a:rPr>
                      <a:t>893</a:t>
                    </a:r>
                    <a:r>
                      <a:rPr lang="zh-CN" altLang="en-US" sz="900">
                        <a:latin typeface="仿宋" pitchFamily="49" charset="-122"/>
                        <a:ea typeface="仿宋" pitchFamily="49" charset="-122"/>
                      </a:rPr>
                      <a:t>件</a:t>
                    </a:r>
                    <a:r>
                      <a:rPr lang="en-US" altLang="zh-CN" sz="900">
                        <a:latin typeface="仿宋" pitchFamily="49" charset="-122"/>
                        <a:ea typeface="仿宋" pitchFamily="49" charset="-122"/>
                      </a:rPr>
                      <a:t>
</a:t>
                    </a:r>
                    <a:r>
                      <a:rPr lang="zh-CN" altLang="en-US" sz="900">
                        <a:latin typeface="仿宋" pitchFamily="49" charset="-122"/>
                        <a:ea typeface="仿宋" pitchFamily="49" charset="-122"/>
                      </a:rPr>
                      <a:t>占比</a:t>
                    </a:r>
                    <a:r>
                      <a:rPr lang="en-US" altLang="zh-CN" sz="900">
                        <a:latin typeface="仿宋" pitchFamily="49" charset="-122"/>
                        <a:ea typeface="仿宋" pitchFamily="49" charset="-122"/>
                      </a:rPr>
                      <a:t>63.24%</a:t>
                    </a:r>
                    <a:endParaRPr lang="zh-CN" altLang="en-US" sz="900">
                      <a:latin typeface="仿宋" pitchFamily="49" charset="-122"/>
                      <a:ea typeface="仿宋" pitchFamily="49" charset="-122"/>
                    </a:endParaRPr>
                  </a:p>
                </c:rich>
              </c:tx>
              <c:dLblPos val="bestFit"/>
              <c:showVal val="1"/>
              <c:showCatName val="1"/>
              <c:showPercent val="1"/>
            </c:dLbl>
            <c:dLbl>
              <c:idx val="3"/>
              <c:layout>
                <c:manualLayout>
                  <c:x val="-2.8288386633056207E-2"/>
                  <c:y val="8.3351498545278499E-2"/>
                </c:manualLayout>
              </c:layout>
              <c:tx>
                <c:rich>
                  <a:bodyPr/>
                  <a:lstStyle/>
                  <a:p>
                    <a:r>
                      <a:rPr lang="zh-CN" altLang="en-US" sz="900">
                        <a:latin typeface="仿宋" pitchFamily="49" charset="-122"/>
                        <a:ea typeface="仿宋" pitchFamily="49" charset="-122"/>
                      </a:rPr>
                      <a:t>行政
</a:t>
                    </a:r>
                    <a:r>
                      <a:rPr lang="en-US" altLang="zh-CN" sz="900">
                        <a:latin typeface="仿宋" pitchFamily="49" charset="-122"/>
                        <a:ea typeface="仿宋" pitchFamily="49" charset="-122"/>
                      </a:rPr>
                      <a:t>31</a:t>
                    </a:r>
                    <a:r>
                      <a:rPr lang="zh-CN" altLang="en-US" sz="900">
                        <a:latin typeface="仿宋" pitchFamily="49" charset="-122"/>
                        <a:ea typeface="仿宋" pitchFamily="49" charset="-122"/>
                      </a:rPr>
                      <a:t>件</a:t>
                    </a:r>
                    <a:r>
                      <a:rPr lang="en-US" altLang="zh-CN" sz="900">
                        <a:latin typeface="仿宋" pitchFamily="49" charset="-122"/>
                        <a:ea typeface="仿宋" pitchFamily="49" charset="-122"/>
                      </a:rPr>
                      <a:t>
</a:t>
                    </a:r>
                    <a:r>
                      <a:rPr lang="zh-CN" altLang="en-US" sz="900">
                        <a:latin typeface="仿宋" pitchFamily="49" charset="-122"/>
                        <a:ea typeface="仿宋" pitchFamily="49" charset="-122"/>
                      </a:rPr>
                      <a:t>占比</a:t>
                    </a:r>
                    <a:r>
                      <a:rPr lang="en-US" altLang="zh-CN" sz="900">
                        <a:latin typeface="仿宋" pitchFamily="49" charset="-122"/>
                        <a:ea typeface="仿宋" pitchFamily="49" charset="-122"/>
                      </a:rPr>
                      <a:t>2.20%</a:t>
                    </a:r>
                    <a:endParaRPr lang="zh-CN" altLang="en-US" sz="900">
                      <a:latin typeface="仿宋" pitchFamily="49" charset="-122"/>
                      <a:ea typeface="仿宋" pitchFamily="49" charset="-122"/>
                    </a:endParaRPr>
                  </a:p>
                </c:rich>
              </c:tx>
              <c:dLblPos val="bestFit"/>
              <c:showVal val="1"/>
              <c:showCatName val="1"/>
              <c:showPercent val="1"/>
            </c:dLbl>
            <c:dLbl>
              <c:idx val="4"/>
              <c:tx>
                <c:rich>
                  <a:bodyPr/>
                  <a:lstStyle/>
                  <a:p>
                    <a:r>
                      <a:rPr lang="zh-CN" altLang="en-US"/>
                      <a:t>赔偿
</a:t>
                    </a:r>
                    <a:r>
                      <a:rPr lang="en-US" altLang="zh-CN"/>
                      <a:t>2</a:t>
                    </a:r>
                    <a:r>
                      <a:rPr lang="zh-CN" altLang="en-US"/>
                      <a:t>件</a:t>
                    </a:r>
                    <a:r>
                      <a:rPr lang="en-US" altLang="zh-CN"/>
                      <a:t>
</a:t>
                    </a:r>
                    <a:r>
                      <a:rPr lang="zh-CN" altLang="en-US"/>
                      <a:t>占比</a:t>
                    </a:r>
                    <a:r>
                      <a:rPr lang="en-US" altLang="zh-CN"/>
                      <a:t>0.14%</a:t>
                    </a:r>
                    <a:endParaRPr lang="zh-CN" altLang="en-US"/>
                  </a:p>
                </c:rich>
              </c:tx>
              <c:dLblPos val="bestFit"/>
              <c:showVal val="1"/>
              <c:showCatName val="1"/>
              <c:showPercent val="1"/>
              <c:separator>
</c:separator>
            </c:dLbl>
            <c:dLbl>
              <c:idx val="5"/>
              <c:layout>
                <c:manualLayout>
                  <c:x val="0.16002506836615807"/>
                  <c:y val="8.7422294305799023E-2"/>
                </c:manualLayout>
              </c:layout>
              <c:tx>
                <c:rich>
                  <a:bodyPr/>
                  <a:lstStyle/>
                  <a:p>
                    <a:r>
                      <a:rPr lang="zh-CN" altLang="en-US">
                        <a:latin typeface="仿宋" pitchFamily="49" charset="-122"/>
                        <a:ea typeface="仿宋" pitchFamily="49" charset="-122"/>
                      </a:rPr>
                      <a:t>执行
</a:t>
                    </a:r>
                    <a:r>
                      <a:rPr lang="en-US" altLang="zh-CN">
                        <a:latin typeface="仿宋" pitchFamily="49" charset="-122"/>
                        <a:ea typeface="仿宋" pitchFamily="49" charset="-122"/>
                      </a:rPr>
                      <a:t>384</a:t>
                    </a:r>
                    <a:r>
                      <a:rPr lang="zh-CN" altLang="en-US">
                        <a:latin typeface="仿宋" pitchFamily="49" charset="-122"/>
                        <a:ea typeface="仿宋" pitchFamily="49" charset="-122"/>
                      </a:rPr>
                      <a:t>件</a:t>
                    </a:r>
                    <a:r>
                      <a:rPr lang="en-US" altLang="zh-CN">
                        <a:latin typeface="仿宋" pitchFamily="49" charset="-122"/>
                        <a:ea typeface="仿宋" pitchFamily="49" charset="-122"/>
                      </a:rPr>
                      <a:t>
</a:t>
                    </a:r>
                    <a:r>
                      <a:rPr lang="zh-CN" altLang="en-US">
                        <a:latin typeface="仿宋" pitchFamily="49" charset="-122"/>
                        <a:ea typeface="仿宋" pitchFamily="49" charset="-122"/>
                      </a:rPr>
                      <a:t>占比</a:t>
                    </a:r>
                    <a:r>
                      <a:rPr lang="en-US" altLang="zh-CN">
                        <a:latin typeface="仿宋" pitchFamily="49" charset="-122"/>
                        <a:ea typeface="仿宋" pitchFamily="49" charset="-122"/>
                      </a:rPr>
                      <a:t>27.20%</a:t>
                    </a:r>
                    <a:endParaRPr lang="zh-CN" altLang="en-US">
                      <a:latin typeface="仿宋" pitchFamily="49" charset="-122"/>
                      <a:ea typeface="仿宋" pitchFamily="49" charset="-122"/>
                    </a:endParaRPr>
                  </a:p>
                </c:rich>
              </c:tx>
              <c:dLblPos val="bestFit"/>
              <c:showVal val="1"/>
              <c:showCatName val="1"/>
              <c:showPercent val="1"/>
            </c:dLbl>
            <c:dLbl>
              <c:idx val="6"/>
              <c:tx>
                <c:rich>
                  <a:bodyPr/>
                  <a:lstStyle/>
                  <a:p>
                    <a:r>
                      <a:rPr lang="zh-CN" altLang="en-US"/>
                      <a:t>审查监督
</a:t>
                    </a:r>
                    <a:r>
                      <a:rPr lang="en-US" altLang="zh-CN"/>
                      <a:t>2</a:t>
                    </a:r>
                    <a:r>
                      <a:rPr lang="zh-CN" altLang="en-US"/>
                      <a:t>件</a:t>
                    </a:r>
                    <a:r>
                      <a:rPr lang="en-US" altLang="zh-CN"/>
                      <a:t>
</a:t>
                    </a:r>
                    <a:r>
                      <a:rPr lang="zh-CN" altLang="en-US"/>
                      <a:t>占比</a:t>
                    </a:r>
                    <a:r>
                      <a:rPr lang="en-US" altLang="zh-CN"/>
                      <a:t>0.14%</a:t>
                    </a:r>
                  </a:p>
                </c:rich>
              </c:tx>
              <c:dLblPos val="bestFit"/>
              <c:showVal val="1"/>
              <c:showCatName val="1"/>
              <c:showPercent val="1"/>
              <c:separator>
</c:separator>
            </c:dLbl>
            <c:numFmt formatCode="0.00%" sourceLinked="0"/>
            <c:txPr>
              <a:bodyPr/>
              <a:lstStyle/>
              <a:p>
                <a:pPr>
                  <a:defRPr sz="900">
                    <a:latin typeface="仿宋" pitchFamily="49" charset="-122"/>
                    <a:ea typeface="仿宋" pitchFamily="49" charset="-122"/>
                  </a:defRPr>
                </a:pPr>
                <a:endParaRPr lang="zh-CN"/>
              </a:p>
            </c:txPr>
            <c:dLblPos val="bestFit"/>
            <c:showVal val="1"/>
            <c:showCatName val="1"/>
            <c:showPercent val="1"/>
            <c:separator>
</c:separator>
            <c:showLeaderLines val="1"/>
          </c:dLbls>
          <c:cat>
            <c:strRef>
              <c:f>Sheet1!$A$2:$A$8</c:f>
              <c:strCache>
                <c:ptCount val="7"/>
                <c:pt idx="0">
                  <c:v>刑事</c:v>
                </c:pt>
                <c:pt idx="1">
                  <c:v>刑罚变更</c:v>
                </c:pt>
                <c:pt idx="2">
                  <c:v>民事</c:v>
                </c:pt>
                <c:pt idx="3">
                  <c:v>行政</c:v>
                </c:pt>
                <c:pt idx="4">
                  <c:v>赔偿</c:v>
                </c:pt>
                <c:pt idx="5">
                  <c:v>执行</c:v>
                </c:pt>
                <c:pt idx="6">
                  <c:v>审查监督</c:v>
                </c:pt>
              </c:strCache>
            </c:strRef>
          </c:cat>
          <c:val>
            <c:numRef>
              <c:f>Sheet1!$B$2:$B$8</c:f>
              <c:numCache>
                <c:formatCode>General</c:formatCode>
                <c:ptCount val="7"/>
                <c:pt idx="0">
                  <c:v>96</c:v>
                </c:pt>
                <c:pt idx="1">
                  <c:v>4</c:v>
                </c:pt>
                <c:pt idx="2">
                  <c:v>893</c:v>
                </c:pt>
                <c:pt idx="3">
                  <c:v>31</c:v>
                </c:pt>
                <c:pt idx="4">
                  <c:v>2</c:v>
                </c:pt>
                <c:pt idx="5">
                  <c:v>384</c:v>
                </c:pt>
                <c:pt idx="6">
                  <c:v>2</c:v>
                </c:pt>
              </c:numCache>
            </c:numRef>
          </c:val>
        </c:ser>
        <c:dLbls>
          <c:showCatName val="1"/>
          <c:showPercent val="1"/>
        </c:dLbls>
      </c:pie3DChart>
      <c:spPr>
        <a:noFill/>
        <a:ln w="25412">
          <a:noFill/>
        </a:ln>
      </c:spPr>
    </c:plotArea>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374" b="1" i="0" u="none" strike="noStrike" baseline="0">
                <a:solidFill>
                  <a:srgbClr val="000000"/>
                </a:solidFill>
                <a:latin typeface="仿宋"/>
                <a:ea typeface="仿宋"/>
                <a:cs typeface="仿宋"/>
              </a:defRPr>
            </a:pPr>
            <a:r>
              <a:rPr lang="zh-CN" altLang="en-US"/>
              <a:t>图表</a:t>
            </a:r>
            <a:r>
              <a:rPr lang="en-US" altLang="zh-CN"/>
              <a:t>6 </a:t>
            </a:r>
            <a:r>
              <a:rPr lang="zh-CN" altLang="en-US"/>
              <a:t>和龙法院审结案件分布图（同比）</a:t>
            </a:r>
          </a:p>
        </c:rich>
      </c:tx>
      <c:layout>
        <c:manualLayout>
          <c:xMode val="edge"/>
          <c:yMode val="edge"/>
          <c:x val="0.21328671328671328"/>
          <c:y val="3.7617554858934171E-2"/>
        </c:manualLayout>
      </c:layout>
      <c:spPr>
        <a:noFill/>
        <a:ln w="25379">
          <a:noFill/>
        </a:ln>
      </c:spPr>
    </c:title>
    <c:plotArea>
      <c:layout>
        <c:manualLayout>
          <c:layoutTarget val="inner"/>
          <c:xMode val="edge"/>
          <c:yMode val="edge"/>
          <c:x val="0.19580419580419686"/>
          <c:y val="0.33542319749216648"/>
          <c:w val="0.77622377622378524"/>
          <c:h val="0.40752351097178685"/>
        </c:manualLayout>
      </c:layout>
      <c:lineChart>
        <c:grouping val="standard"/>
        <c:ser>
          <c:idx val="0"/>
          <c:order val="0"/>
          <c:tx>
            <c:strRef>
              <c:f>Sheet1!$A$2</c:f>
              <c:strCache>
                <c:ptCount val="1"/>
                <c:pt idx="0">
                  <c:v>2017年三季度</c:v>
                </c:pt>
              </c:strCache>
            </c:strRef>
          </c:tx>
          <c:spPr>
            <a:ln w="12689">
              <a:solidFill>
                <a:srgbClr val="993366"/>
              </a:solidFill>
              <a:prstDash val="solid"/>
            </a:ln>
          </c:spPr>
          <c:marker>
            <c:symbol val="x"/>
            <c:size val="4"/>
            <c:spPr>
              <a:solidFill>
                <a:srgbClr val="993366"/>
              </a:solidFill>
              <a:ln>
                <a:solidFill>
                  <a:srgbClr val="993366"/>
                </a:solidFill>
                <a:prstDash val="solid"/>
              </a:ln>
            </c:spPr>
          </c:marker>
          <c:cat>
            <c:strRef>
              <c:f>Sheet1!$B$1:$K$1</c:f>
              <c:strCache>
                <c:ptCount val="10"/>
                <c:pt idx="0">
                  <c:v>立案庭</c:v>
                </c:pt>
                <c:pt idx="1">
                  <c:v>刑庭</c:v>
                </c:pt>
                <c:pt idx="2">
                  <c:v>民一庭</c:v>
                </c:pt>
                <c:pt idx="3">
                  <c:v>民二庭</c:v>
                </c:pt>
                <c:pt idx="4">
                  <c:v>头道法庭</c:v>
                </c:pt>
                <c:pt idx="5">
                  <c:v>行政庭</c:v>
                </c:pt>
                <c:pt idx="6">
                  <c:v>审监庭</c:v>
                </c:pt>
                <c:pt idx="7">
                  <c:v>执行一科</c:v>
                </c:pt>
                <c:pt idx="8">
                  <c:v>执行二科</c:v>
                </c:pt>
                <c:pt idx="9">
                  <c:v>综合科</c:v>
                </c:pt>
              </c:strCache>
            </c:strRef>
          </c:cat>
          <c:val>
            <c:numRef>
              <c:f>Sheet1!$B$2:$K$2</c:f>
              <c:numCache>
                <c:formatCode>General</c:formatCode>
                <c:ptCount val="10"/>
                <c:pt idx="0">
                  <c:v>7</c:v>
                </c:pt>
                <c:pt idx="1">
                  <c:v>100</c:v>
                </c:pt>
                <c:pt idx="2">
                  <c:v>340</c:v>
                </c:pt>
                <c:pt idx="3">
                  <c:v>372</c:v>
                </c:pt>
                <c:pt idx="4">
                  <c:v>176</c:v>
                </c:pt>
                <c:pt idx="5">
                  <c:v>30</c:v>
                </c:pt>
                <c:pt idx="6">
                  <c:v>3</c:v>
                </c:pt>
                <c:pt idx="7">
                  <c:v>151</c:v>
                </c:pt>
                <c:pt idx="8">
                  <c:v>221</c:v>
                </c:pt>
                <c:pt idx="9">
                  <c:v>12</c:v>
                </c:pt>
              </c:numCache>
            </c:numRef>
          </c:val>
        </c:ser>
        <c:ser>
          <c:idx val="1"/>
          <c:order val="1"/>
          <c:tx>
            <c:strRef>
              <c:f>Sheet1!$A$3</c:f>
              <c:strCache>
                <c:ptCount val="1"/>
                <c:pt idx="0">
                  <c:v>2016年三季度</c:v>
                </c:pt>
              </c:strCache>
            </c:strRef>
          </c:tx>
          <c:spPr>
            <a:ln w="12689">
              <a:solidFill>
                <a:srgbClr val="666699"/>
              </a:solidFill>
              <a:prstDash val="solid"/>
            </a:ln>
          </c:spPr>
          <c:marker>
            <c:symbol val="diamond"/>
            <c:size val="4"/>
            <c:spPr>
              <a:solidFill>
                <a:srgbClr val="666699"/>
              </a:solidFill>
              <a:ln>
                <a:solidFill>
                  <a:srgbClr val="666699"/>
                </a:solidFill>
                <a:prstDash val="solid"/>
              </a:ln>
            </c:spPr>
          </c:marker>
          <c:cat>
            <c:strRef>
              <c:f>Sheet1!$B$1:$K$1</c:f>
              <c:strCache>
                <c:ptCount val="10"/>
                <c:pt idx="0">
                  <c:v>立案庭</c:v>
                </c:pt>
                <c:pt idx="1">
                  <c:v>刑庭</c:v>
                </c:pt>
                <c:pt idx="2">
                  <c:v>民一庭</c:v>
                </c:pt>
                <c:pt idx="3">
                  <c:v>民二庭</c:v>
                </c:pt>
                <c:pt idx="4">
                  <c:v>头道法庭</c:v>
                </c:pt>
                <c:pt idx="5">
                  <c:v>行政庭</c:v>
                </c:pt>
                <c:pt idx="6">
                  <c:v>审监庭</c:v>
                </c:pt>
                <c:pt idx="7">
                  <c:v>执行一科</c:v>
                </c:pt>
                <c:pt idx="8">
                  <c:v>执行二科</c:v>
                </c:pt>
                <c:pt idx="9">
                  <c:v>综合科</c:v>
                </c:pt>
              </c:strCache>
            </c:strRef>
          </c:cat>
          <c:val>
            <c:numRef>
              <c:f>Sheet1!$B$3:$K$3</c:f>
              <c:numCache>
                <c:formatCode>General</c:formatCode>
                <c:ptCount val="10"/>
                <c:pt idx="0">
                  <c:v>3</c:v>
                </c:pt>
                <c:pt idx="1">
                  <c:v>106</c:v>
                </c:pt>
                <c:pt idx="2">
                  <c:v>264</c:v>
                </c:pt>
                <c:pt idx="3">
                  <c:v>266</c:v>
                </c:pt>
                <c:pt idx="4">
                  <c:v>159</c:v>
                </c:pt>
                <c:pt idx="5">
                  <c:v>33</c:v>
                </c:pt>
                <c:pt idx="6">
                  <c:v>4</c:v>
                </c:pt>
                <c:pt idx="7">
                  <c:v>133</c:v>
                </c:pt>
                <c:pt idx="8">
                  <c:v>140</c:v>
                </c:pt>
                <c:pt idx="9">
                  <c:v>5</c:v>
                </c:pt>
              </c:numCache>
            </c:numRef>
          </c:val>
        </c:ser>
        <c:marker val="1"/>
        <c:axId val="80299136"/>
        <c:axId val="80301056"/>
      </c:lineChart>
      <c:catAx>
        <c:axId val="80299136"/>
        <c:scaling>
          <c:orientation val="minMax"/>
        </c:scaling>
        <c:axPos val="b"/>
        <c:numFmt formatCode="General" sourceLinked="1"/>
        <c:majorTickMark val="in"/>
        <c:tickLblPos val="nextTo"/>
        <c:spPr>
          <a:ln w="3172">
            <a:solidFill>
              <a:srgbClr val="000000"/>
            </a:solidFill>
            <a:prstDash val="solid"/>
          </a:ln>
        </c:spPr>
        <c:txPr>
          <a:bodyPr rot="0" vert="horz"/>
          <a:lstStyle/>
          <a:p>
            <a:pPr>
              <a:defRPr sz="1574" b="0" i="0" u="none" strike="noStrike" baseline="0">
                <a:solidFill>
                  <a:srgbClr val="000000"/>
                </a:solidFill>
                <a:latin typeface="宋体"/>
                <a:ea typeface="宋体"/>
                <a:cs typeface="宋体"/>
              </a:defRPr>
            </a:pPr>
            <a:endParaRPr lang="zh-CN"/>
          </a:p>
        </c:txPr>
        <c:crossAx val="80301056"/>
        <c:crosses val="autoZero"/>
        <c:auto val="1"/>
        <c:lblAlgn val="ctr"/>
        <c:lblOffset val="100"/>
        <c:tickMarkSkip val="1"/>
      </c:catAx>
      <c:valAx>
        <c:axId val="80301056"/>
        <c:scaling>
          <c:orientation val="minMax"/>
        </c:scaling>
        <c:axPos val="l"/>
        <c:majorGridlines>
          <c:spPr>
            <a:ln w="3172">
              <a:solidFill>
                <a:srgbClr val="000000"/>
              </a:solidFill>
              <a:prstDash val="solid"/>
            </a:ln>
          </c:spPr>
        </c:majorGridlines>
        <c:minorGridlines>
          <c:spPr>
            <a:ln w="3172">
              <a:solidFill>
                <a:srgbClr val="000000"/>
              </a:solidFill>
              <a:prstDash val="solid"/>
            </a:ln>
          </c:spPr>
        </c:minorGridlines>
        <c:numFmt formatCode="General" sourceLinked="1"/>
        <c:majorTickMark val="in"/>
        <c:tickLblPos val="nextTo"/>
        <c:spPr>
          <a:ln w="3172">
            <a:solidFill>
              <a:srgbClr val="000000"/>
            </a:solidFill>
            <a:prstDash val="solid"/>
          </a:ln>
        </c:spPr>
        <c:txPr>
          <a:bodyPr rot="0" vert="horz"/>
          <a:lstStyle/>
          <a:p>
            <a:pPr>
              <a:defRPr sz="1574" b="0" i="0" u="none" strike="noStrike" baseline="0">
                <a:solidFill>
                  <a:srgbClr val="000000"/>
                </a:solidFill>
                <a:latin typeface="宋体"/>
                <a:ea typeface="宋体"/>
                <a:cs typeface="宋体"/>
              </a:defRPr>
            </a:pPr>
            <a:endParaRPr lang="zh-CN"/>
          </a:p>
        </c:txPr>
        <c:crossAx val="80299136"/>
        <c:crosses val="autoZero"/>
        <c:crossBetween val="between"/>
      </c:valAx>
      <c:dTable>
        <c:showHorzBorder val="1"/>
        <c:showVertBorder val="1"/>
        <c:showKeys val="1"/>
        <c:spPr>
          <a:ln w="3172">
            <a:solidFill>
              <a:srgbClr val="000000"/>
            </a:solidFill>
            <a:prstDash val="solid"/>
          </a:ln>
        </c:spPr>
        <c:txPr>
          <a:bodyPr/>
          <a:lstStyle/>
          <a:p>
            <a:pPr rtl="0">
              <a:defRPr sz="899" b="0" i="0" u="none" strike="noStrike" baseline="0">
                <a:solidFill>
                  <a:srgbClr val="000000"/>
                </a:solidFill>
                <a:latin typeface="仿宋"/>
                <a:ea typeface="仿宋"/>
                <a:cs typeface="仿宋"/>
              </a:defRPr>
            </a:pPr>
            <a:endParaRPr lang="zh-CN"/>
          </a:p>
        </c:txPr>
      </c:dTable>
      <c:spPr>
        <a:solidFill>
          <a:srgbClr val="FFFFFF"/>
        </a:solidFill>
        <a:ln w="12689">
          <a:solidFill>
            <a:srgbClr val="000000"/>
          </a:solidFill>
          <a:prstDash val="solid"/>
        </a:ln>
      </c:spPr>
    </c:plotArea>
    <c:legend>
      <c:legendPos val="t"/>
      <c:legendEntry>
        <c:idx val="0"/>
        <c:txPr>
          <a:bodyPr/>
          <a:lstStyle/>
          <a:p>
            <a:pPr>
              <a:defRPr sz="824" b="0" i="0" u="none" strike="noStrike" baseline="0">
                <a:solidFill>
                  <a:srgbClr val="000000"/>
                </a:solidFill>
                <a:latin typeface="宋体"/>
                <a:ea typeface="宋体"/>
                <a:cs typeface="宋体"/>
              </a:defRPr>
            </a:pPr>
            <a:endParaRPr lang="zh-CN"/>
          </a:p>
        </c:txPr>
      </c:legendEntry>
      <c:legendEntry>
        <c:idx val="1"/>
        <c:txPr>
          <a:bodyPr/>
          <a:lstStyle/>
          <a:p>
            <a:pPr>
              <a:defRPr sz="824" b="0" i="0" u="none" strike="noStrike" baseline="0">
                <a:solidFill>
                  <a:srgbClr val="000000"/>
                </a:solidFill>
                <a:latin typeface="宋体"/>
                <a:ea typeface="宋体"/>
                <a:cs typeface="宋体"/>
              </a:defRPr>
            </a:pPr>
            <a:endParaRPr lang="zh-CN"/>
          </a:p>
        </c:txPr>
      </c:legendEntry>
      <c:layout>
        <c:manualLayout>
          <c:xMode val="edge"/>
          <c:yMode val="edge"/>
          <c:x val="0.29195804195804498"/>
          <c:y val="0.15047021943573671"/>
          <c:w val="0.4737762237762238"/>
          <c:h val="6.8965517241379309E-2"/>
        </c:manualLayout>
      </c:layout>
      <c:spPr>
        <a:solidFill>
          <a:srgbClr val="FFFFFF"/>
        </a:solidFill>
        <a:ln w="3172">
          <a:solidFill>
            <a:srgbClr val="000000"/>
          </a:solidFill>
          <a:prstDash val="solid"/>
        </a:ln>
      </c:spPr>
      <c:txPr>
        <a:bodyPr/>
        <a:lstStyle/>
        <a:p>
          <a:pPr>
            <a:defRPr sz="1424"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574" b="0" i="0" u="none" strike="noStrike" baseline="0">
          <a:solidFill>
            <a:srgbClr val="000000"/>
          </a:solidFill>
          <a:latin typeface="宋体"/>
          <a:ea typeface="宋体"/>
          <a:cs typeface="宋体"/>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style val="10"/>
  <c:chart>
    <c:title>
      <c:tx>
        <c:rich>
          <a:bodyPr/>
          <a:lstStyle/>
          <a:p>
            <a:pPr>
              <a:defRPr sz="1399" b="1">
                <a:latin typeface="仿宋" pitchFamily="49" charset="-122"/>
                <a:ea typeface="仿宋" pitchFamily="49" charset="-122"/>
              </a:defRPr>
            </a:pPr>
            <a:r>
              <a:rPr lang="zh-CN" altLang="en-US" sz="1399">
                <a:latin typeface="仿宋" pitchFamily="49" charset="-122"/>
                <a:ea typeface="仿宋" pitchFamily="49" charset="-122"/>
              </a:rPr>
              <a:t>图表</a:t>
            </a:r>
            <a:r>
              <a:rPr lang="en-US" altLang="zh-CN" sz="1399">
                <a:latin typeface="仿宋" pitchFamily="49" charset="-122"/>
                <a:ea typeface="仿宋" pitchFamily="49" charset="-122"/>
              </a:rPr>
              <a:t>7   </a:t>
            </a:r>
            <a:r>
              <a:rPr lang="zh-CN" altLang="en-US" sz="1399">
                <a:latin typeface="仿宋" pitchFamily="49" charset="-122"/>
                <a:ea typeface="仿宋" pitchFamily="49" charset="-122"/>
              </a:rPr>
              <a:t>全院未结案件构成情况对比图</a:t>
            </a:r>
          </a:p>
        </c:rich>
      </c:tx>
    </c:title>
    <c:view3D>
      <c:rotX val="30"/>
      <c:perspective val="0"/>
    </c:view3D>
    <c:plotArea>
      <c:layout>
        <c:manualLayout>
          <c:layoutTarget val="inner"/>
          <c:xMode val="edge"/>
          <c:yMode val="edge"/>
          <c:x val="0.19422150882825037"/>
          <c:y val="0.19946091644204891"/>
          <c:w val="0.44141252006420767"/>
          <c:h val="0.46361185983827491"/>
        </c:manualLayout>
      </c:layout>
      <c:pie3DChart>
        <c:varyColors val="1"/>
        <c:ser>
          <c:idx val="0"/>
          <c:order val="0"/>
          <c:tx>
            <c:strRef>
              <c:f>Sheet1!$B$1</c:f>
              <c:strCache>
                <c:ptCount val="1"/>
                <c:pt idx="0">
                  <c:v>图表1   全院受理案件构成情况对比图</c:v>
                </c:pt>
              </c:strCache>
            </c:strRef>
          </c:tx>
          <c:explosion val="8"/>
          <c:dPt>
            <c:idx val="2"/>
            <c:explosion val="9"/>
          </c:dPt>
          <c:dLbls>
            <c:dLbl>
              <c:idx val="0"/>
              <c:layout>
                <c:manualLayout>
                  <c:x val="-8.8932930195123244E-2"/>
                  <c:y val="9.6439817926225486E-3"/>
                </c:manualLayout>
              </c:layout>
              <c:tx>
                <c:rich>
                  <a:bodyPr/>
                  <a:lstStyle/>
                  <a:p>
                    <a:r>
                      <a:rPr lang="zh-CN" altLang="en-US" sz="900">
                        <a:latin typeface="仿宋" pitchFamily="49" charset="-122"/>
                        <a:ea typeface="仿宋" pitchFamily="49" charset="-122"/>
                      </a:rPr>
                      <a:t>刑事</a:t>
                    </a:r>
                    <a:r>
                      <a:rPr lang="en-US" altLang="zh-CN" sz="900">
                        <a:latin typeface="仿宋" pitchFamily="49" charset="-122"/>
                        <a:ea typeface="仿宋" pitchFamily="49" charset="-122"/>
                      </a:rPr>
                      <a:t>, 10</a:t>
                    </a:r>
                    <a:r>
                      <a:rPr lang="zh-CN" altLang="en-US" sz="900">
                        <a:latin typeface="仿宋" pitchFamily="49" charset="-122"/>
                        <a:ea typeface="仿宋" pitchFamily="49" charset="-122"/>
                      </a:rPr>
                      <a:t>件</a:t>
                    </a:r>
                    <a:r>
                      <a:rPr lang="en-US" altLang="zh-CN" sz="900">
                        <a:latin typeface="仿宋" pitchFamily="49" charset="-122"/>
                        <a:ea typeface="仿宋" pitchFamily="49" charset="-122"/>
                      </a:rPr>
                      <a:t>, </a:t>
                    </a:r>
                    <a:r>
                      <a:rPr lang="zh-CN" altLang="en-US" sz="900">
                        <a:latin typeface="仿宋" pitchFamily="49" charset="-122"/>
                        <a:ea typeface="仿宋" pitchFamily="49" charset="-122"/>
                      </a:rPr>
                      <a:t>占比</a:t>
                    </a:r>
                    <a:r>
                      <a:rPr lang="en-US" altLang="zh-CN" sz="900">
                        <a:latin typeface="仿宋" pitchFamily="49" charset="-122"/>
                        <a:ea typeface="仿宋" pitchFamily="49" charset="-122"/>
                      </a:rPr>
                      <a:t>1.77%</a:t>
                    </a:r>
                    <a:endParaRPr lang="zh-CN" altLang="en-US" sz="900">
                      <a:latin typeface="仿宋" pitchFamily="49" charset="-122"/>
                      <a:ea typeface="仿宋" pitchFamily="49" charset="-122"/>
                    </a:endParaRPr>
                  </a:p>
                </c:rich>
              </c:tx>
              <c:dLblPos val="bestFit"/>
              <c:showVal val="1"/>
              <c:showCatName val="1"/>
              <c:showPercent val="1"/>
            </c:dLbl>
            <c:dLbl>
              <c:idx val="1"/>
              <c:tx>
                <c:rich>
                  <a:bodyPr/>
                  <a:lstStyle/>
                  <a:p>
                    <a:r>
                      <a:rPr lang="zh-CN" altLang="en-US"/>
                      <a:t>刑罚变更</a:t>
                    </a:r>
                    <a:r>
                      <a:rPr lang="en-US" altLang="zh-CN"/>
                      <a:t>, 0</a:t>
                    </a:r>
                    <a:r>
                      <a:rPr lang="zh-CN" altLang="en-US"/>
                      <a:t>件</a:t>
                    </a:r>
                    <a:r>
                      <a:rPr lang="en-US" altLang="zh-CN"/>
                      <a:t>, </a:t>
                    </a:r>
                    <a:r>
                      <a:rPr lang="zh-CN" altLang="en-US"/>
                      <a:t>占比</a:t>
                    </a:r>
                    <a:r>
                      <a:rPr lang="en-US" altLang="zh-CN"/>
                      <a:t>0.00%</a:t>
                    </a:r>
                    <a:endParaRPr lang="zh-CN" altLang="en-US"/>
                  </a:p>
                </c:rich>
              </c:tx>
              <c:showVal val="1"/>
              <c:showCatName val="1"/>
              <c:showPercent val="1"/>
            </c:dLbl>
            <c:dLbl>
              <c:idx val="2"/>
              <c:layout>
                <c:manualLayout>
                  <c:x val="-0.17196177309586641"/>
                  <c:y val="2.2380341667131404E-2"/>
                </c:manualLayout>
              </c:layout>
              <c:tx>
                <c:rich>
                  <a:bodyPr/>
                  <a:lstStyle/>
                  <a:p>
                    <a:r>
                      <a:rPr lang="zh-CN" altLang="en-US" sz="900">
                        <a:latin typeface="仿宋" pitchFamily="49" charset="-122"/>
                        <a:ea typeface="仿宋" pitchFamily="49" charset="-122"/>
                      </a:rPr>
                      <a:t>民事</a:t>
                    </a:r>
                    <a:r>
                      <a:rPr lang="en-US" altLang="zh-CN" sz="900">
                        <a:latin typeface="仿宋" pitchFamily="49" charset="-122"/>
                        <a:ea typeface="仿宋" pitchFamily="49" charset="-122"/>
                      </a:rPr>
                      <a:t>, 229</a:t>
                    </a:r>
                    <a:r>
                      <a:rPr lang="zh-CN" altLang="en-US" sz="900">
                        <a:latin typeface="仿宋" pitchFamily="49" charset="-122"/>
                        <a:ea typeface="仿宋" pitchFamily="49" charset="-122"/>
                      </a:rPr>
                      <a:t>件</a:t>
                    </a:r>
                    <a:r>
                      <a:rPr lang="en-US" altLang="zh-CN" sz="900">
                        <a:latin typeface="仿宋" pitchFamily="49" charset="-122"/>
                        <a:ea typeface="仿宋" pitchFamily="49" charset="-122"/>
                      </a:rPr>
                      <a:t>, </a:t>
                    </a:r>
                    <a:r>
                      <a:rPr lang="zh-CN" altLang="en-US" sz="900">
                        <a:latin typeface="仿宋" pitchFamily="49" charset="-122"/>
                        <a:ea typeface="仿宋" pitchFamily="49" charset="-122"/>
                      </a:rPr>
                      <a:t>占比</a:t>
                    </a:r>
                    <a:r>
                      <a:rPr lang="en-US" altLang="zh-CN" sz="900">
                        <a:latin typeface="仿宋" pitchFamily="49" charset="-122"/>
                        <a:ea typeface="仿宋" pitchFamily="49" charset="-122"/>
                      </a:rPr>
                      <a:t>40.53%</a:t>
                    </a:r>
                    <a:endParaRPr lang="zh-CN" altLang="en-US" sz="900">
                      <a:latin typeface="仿宋" pitchFamily="49" charset="-122"/>
                      <a:ea typeface="仿宋" pitchFamily="49" charset="-122"/>
                    </a:endParaRPr>
                  </a:p>
                </c:rich>
              </c:tx>
              <c:dLblPos val="bestFit"/>
              <c:showVal val="1"/>
              <c:showCatName val="1"/>
              <c:showPercent val="1"/>
            </c:dLbl>
            <c:dLbl>
              <c:idx val="3"/>
              <c:layout>
                <c:manualLayout>
                  <c:x val="4.7288580960071304E-2"/>
                  <c:y val="5.4663639769245563E-2"/>
                </c:manualLayout>
              </c:layout>
              <c:tx>
                <c:rich>
                  <a:bodyPr/>
                  <a:lstStyle/>
                  <a:p>
                    <a:r>
                      <a:rPr lang="zh-CN" altLang="en-US" sz="900">
                        <a:latin typeface="仿宋" pitchFamily="49" charset="-122"/>
                        <a:ea typeface="仿宋" pitchFamily="49" charset="-122"/>
                      </a:rPr>
                      <a:t>行政</a:t>
                    </a:r>
                    <a:r>
                      <a:rPr lang="en-US" altLang="zh-CN" sz="900">
                        <a:latin typeface="仿宋" pitchFamily="49" charset="-122"/>
                        <a:ea typeface="仿宋" pitchFamily="49" charset="-122"/>
                      </a:rPr>
                      <a:t>, 16</a:t>
                    </a:r>
                    <a:r>
                      <a:rPr lang="zh-CN" altLang="en-US" sz="900">
                        <a:latin typeface="仿宋" pitchFamily="49" charset="-122"/>
                        <a:ea typeface="仿宋" pitchFamily="49" charset="-122"/>
                      </a:rPr>
                      <a:t>件</a:t>
                    </a:r>
                    <a:r>
                      <a:rPr lang="en-US" altLang="zh-CN" sz="900">
                        <a:latin typeface="仿宋" pitchFamily="49" charset="-122"/>
                        <a:ea typeface="仿宋" pitchFamily="49" charset="-122"/>
                      </a:rPr>
                      <a:t>, </a:t>
                    </a:r>
                    <a:r>
                      <a:rPr lang="zh-CN" altLang="en-US" sz="900">
                        <a:latin typeface="仿宋" pitchFamily="49" charset="-122"/>
                        <a:ea typeface="仿宋" pitchFamily="49" charset="-122"/>
                      </a:rPr>
                      <a:t>占比</a:t>
                    </a:r>
                    <a:r>
                      <a:rPr lang="en-US" altLang="zh-CN" sz="900">
                        <a:latin typeface="仿宋" pitchFamily="49" charset="-122"/>
                        <a:ea typeface="仿宋" pitchFamily="49" charset="-122"/>
                      </a:rPr>
                      <a:t>2.83%</a:t>
                    </a:r>
                    <a:endParaRPr lang="zh-CN" altLang="en-US" sz="900">
                      <a:latin typeface="仿宋" pitchFamily="49" charset="-122"/>
                      <a:ea typeface="仿宋" pitchFamily="49" charset="-122"/>
                    </a:endParaRPr>
                  </a:p>
                </c:rich>
              </c:tx>
              <c:dLblPos val="bestFit"/>
              <c:showVal val="1"/>
              <c:showCatName val="1"/>
              <c:showPercent val="1"/>
            </c:dLbl>
            <c:dLbl>
              <c:idx val="4"/>
              <c:layout>
                <c:manualLayout>
                  <c:x val="-0.15170806139518214"/>
                  <c:y val="-2.2117516716455014E-3"/>
                </c:manualLayout>
              </c:layout>
              <c:tx>
                <c:rich>
                  <a:bodyPr/>
                  <a:lstStyle/>
                  <a:p>
                    <a:r>
                      <a:rPr lang="zh-CN" altLang="en-US">
                        <a:latin typeface="仿宋" pitchFamily="49" charset="-122"/>
                        <a:ea typeface="仿宋" pitchFamily="49" charset="-122"/>
                      </a:rPr>
                      <a:t>赔偿</a:t>
                    </a:r>
                    <a:r>
                      <a:rPr lang="en-US" altLang="zh-CN">
                        <a:latin typeface="仿宋" pitchFamily="49" charset="-122"/>
                        <a:ea typeface="仿宋" pitchFamily="49" charset="-122"/>
                      </a:rPr>
                      <a:t>, 3</a:t>
                    </a:r>
                    <a:r>
                      <a:rPr lang="zh-CN" altLang="en-US">
                        <a:latin typeface="仿宋" pitchFamily="49" charset="-122"/>
                        <a:ea typeface="仿宋" pitchFamily="49" charset="-122"/>
                      </a:rPr>
                      <a:t>件</a:t>
                    </a:r>
                    <a:r>
                      <a:rPr lang="en-US" altLang="zh-CN">
                        <a:latin typeface="仿宋" pitchFamily="49" charset="-122"/>
                        <a:ea typeface="仿宋" pitchFamily="49" charset="-122"/>
                      </a:rPr>
                      <a:t>, </a:t>
                    </a:r>
                    <a:r>
                      <a:rPr lang="zh-CN" altLang="en-US">
                        <a:latin typeface="仿宋" pitchFamily="49" charset="-122"/>
                        <a:ea typeface="仿宋" pitchFamily="49" charset="-122"/>
                      </a:rPr>
                      <a:t>占比</a:t>
                    </a:r>
                    <a:r>
                      <a:rPr lang="en-US" altLang="zh-CN">
                        <a:latin typeface="仿宋" pitchFamily="49" charset="-122"/>
                        <a:ea typeface="仿宋" pitchFamily="49" charset="-122"/>
                      </a:rPr>
                      <a:t>0.53%</a:t>
                    </a:r>
                    <a:endParaRPr lang="zh-CN" altLang="en-US">
                      <a:latin typeface="仿宋" pitchFamily="49" charset="-122"/>
                      <a:ea typeface="仿宋" pitchFamily="49" charset="-122"/>
                    </a:endParaRPr>
                  </a:p>
                </c:rich>
              </c:tx>
              <c:dLblPos val="bestFit"/>
              <c:showVal val="1"/>
              <c:showCatName val="1"/>
              <c:showPercent val="1"/>
            </c:dLbl>
            <c:dLbl>
              <c:idx val="5"/>
              <c:tx>
                <c:rich>
                  <a:bodyPr/>
                  <a:lstStyle/>
                  <a:p>
                    <a:r>
                      <a:rPr lang="zh-CN" altLang="en-US"/>
                      <a:t>执行</a:t>
                    </a:r>
                    <a:r>
                      <a:rPr lang="en-US" altLang="zh-CN"/>
                      <a:t>, 307</a:t>
                    </a:r>
                    <a:r>
                      <a:rPr lang="zh-CN" altLang="en-US"/>
                      <a:t>件</a:t>
                    </a:r>
                    <a:r>
                      <a:rPr lang="en-US" altLang="zh-CN"/>
                      <a:t>, </a:t>
                    </a:r>
                    <a:r>
                      <a:rPr lang="zh-CN" altLang="en-US"/>
                      <a:t>占比</a:t>
                    </a:r>
                    <a:r>
                      <a:rPr lang="en-US" altLang="zh-CN"/>
                      <a:t>54.34%</a:t>
                    </a:r>
                  </a:p>
                </c:rich>
              </c:tx>
              <c:dLblPos val="bestFit"/>
              <c:showVal val="1"/>
              <c:showCatName val="1"/>
              <c:showPercent val="1"/>
            </c:dLbl>
            <c:dLbl>
              <c:idx val="6"/>
              <c:layout>
                <c:manualLayout>
                  <c:x val="-0.10236434629560739"/>
                  <c:y val="1.9300595547093114E-2"/>
                </c:manualLayout>
              </c:layout>
              <c:dLblPos val="bestFit"/>
              <c:showVal val="1"/>
              <c:showCatName val="1"/>
              <c:showPercent val="1"/>
            </c:dLbl>
            <c:numFmt formatCode="0.00%" sourceLinked="0"/>
            <c:txPr>
              <a:bodyPr/>
              <a:lstStyle/>
              <a:p>
                <a:pPr>
                  <a:defRPr sz="899">
                    <a:latin typeface="仿宋" pitchFamily="49" charset="-122"/>
                    <a:ea typeface="仿宋" pitchFamily="49" charset="-122"/>
                  </a:defRPr>
                </a:pPr>
                <a:endParaRPr lang="zh-CN"/>
              </a:p>
            </c:txPr>
            <c:dLblPos val="bestFit"/>
            <c:showVal val="1"/>
            <c:showCatName val="1"/>
            <c:showPercent val="1"/>
            <c:showLeaderLines val="1"/>
          </c:dLbls>
          <c:cat>
            <c:strRef>
              <c:f>Sheet1!$A$2:$A$7</c:f>
              <c:strCache>
                <c:ptCount val="6"/>
                <c:pt idx="0">
                  <c:v>刑事</c:v>
                </c:pt>
                <c:pt idx="1">
                  <c:v>刑罚变更</c:v>
                </c:pt>
                <c:pt idx="2">
                  <c:v>民事</c:v>
                </c:pt>
                <c:pt idx="3">
                  <c:v>行政</c:v>
                </c:pt>
                <c:pt idx="4">
                  <c:v>赔偿</c:v>
                </c:pt>
                <c:pt idx="5">
                  <c:v>执行</c:v>
                </c:pt>
              </c:strCache>
            </c:strRef>
          </c:cat>
          <c:val>
            <c:numRef>
              <c:f>Sheet1!$B$2:$B$7</c:f>
              <c:numCache>
                <c:formatCode>General</c:formatCode>
                <c:ptCount val="6"/>
                <c:pt idx="0">
                  <c:v>10</c:v>
                </c:pt>
                <c:pt idx="1">
                  <c:v>0</c:v>
                </c:pt>
                <c:pt idx="2">
                  <c:v>229</c:v>
                </c:pt>
                <c:pt idx="3">
                  <c:v>16</c:v>
                </c:pt>
                <c:pt idx="4">
                  <c:v>3</c:v>
                </c:pt>
                <c:pt idx="5">
                  <c:v>307</c:v>
                </c:pt>
              </c:numCache>
            </c:numRef>
          </c:val>
        </c:ser>
        <c:dLbls>
          <c:showCatName val="1"/>
          <c:showPercent val="1"/>
        </c:dLbls>
      </c:pie3DChart>
      <c:spPr>
        <a:noFill/>
        <a:ln w="25382">
          <a:noFill/>
        </a:ln>
      </c:spPr>
    </c:plotArea>
    <c:plotVisOnly val="1"/>
    <c:dispBlanksAs val="zero"/>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374" b="1" i="0" u="none" strike="noStrike" baseline="0">
                <a:solidFill>
                  <a:srgbClr val="000000"/>
                </a:solidFill>
                <a:latin typeface="仿宋"/>
                <a:ea typeface="仿宋"/>
                <a:cs typeface="仿宋"/>
              </a:defRPr>
            </a:pPr>
            <a:r>
              <a:rPr lang="zh-CN" altLang="en-US"/>
              <a:t>图表</a:t>
            </a:r>
            <a:r>
              <a:rPr lang="en-US" altLang="zh-CN"/>
              <a:t>8 </a:t>
            </a:r>
            <a:r>
              <a:rPr lang="zh-CN" altLang="en-US"/>
              <a:t>和龙法院未结案件分布图（同比）</a:t>
            </a:r>
          </a:p>
        </c:rich>
      </c:tx>
      <c:layout>
        <c:manualLayout>
          <c:xMode val="edge"/>
          <c:yMode val="edge"/>
          <c:x val="0.20593368237347412"/>
          <c:y val="3.6900369003690051E-2"/>
        </c:manualLayout>
      </c:layout>
      <c:spPr>
        <a:noFill/>
        <a:ln w="25375">
          <a:noFill/>
        </a:ln>
      </c:spPr>
    </c:title>
    <c:plotArea>
      <c:layout>
        <c:manualLayout>
          <c:layoutTarget val="inner"/>
          <c:xMode val="edge"/>
          <c:yMode val="edge"/>
          <c:x val="0.19371727748691223"/>
          <c:y val="0.35793357933579556"/>
          <c:w val="0.77835951134381176"/>
          <c:h val="0.35424354243542233"/>
        </c:manualLayout>
      </c:layout>
      <c:lineChart>
        <c:grouping val="standard"/>
        <c:ser>
          <c:idx val="0"/>
          <c:order val="0"/>
          <c:tx>
            <c:strRef>
              <c:f>Sheet1!$A$2</c:f>
              <c:strCache>
                <c:ptCount val="1"/>
                <c:pt idx="0">
                  <c:v>2017年三季度</c:v>
                </c:pt>
              </c:strCache>
            </c:strRef>
          </c:tx>
          <c:spPr>
            <a:ln w="12688">
              <a:solidFill>
                <a:srgbClr val="993366"/>
              </a:solidFill>
              <a:prstDash val="solid"/>
            </a:ln>
          </c:spPr>
          <c:marker>
            <c:symbol val="x"/>
            <c:size val="4"/>
            <c:spPr>
              <a:solidFill>
                <a:srgbClr val="993366"/>
              </a:solidFill>
              <a:ln>
                <a:solidFill>
                  <a:srgbClr val="993366"/>
                </a:solidFill>
                <a:prstDash val="solid"/>
              </a:ln>
            </c:spPr>
          </c:marker>
          <c:cat>
            <c:strRef>
              <c:f>Sheet1!$B$1:$K$1</c:f>
              <c:strCache>
                <c:ptCount val="10"/>
                <c:pt idx="0">
                  <c:v>立案庭</c:v>
                </c:pt>
                <c:pt idx="1">
                  <c:v>刑庭</c:v>
                </c:pt>
                <c:pt idx="2">
                  <c:v>民一庭</c:v>
                </c:pt>
                <c:pt idx="3">
                  <c:v>民二庭</c:v>
                </c:pt>
                <c:pt idx="4">
                  <c:v>头道法庭</c:v>
                </c:pt>
                <c:pt idx="5">
                  <c:v>行政庭</c:v>
                </c:pt>
                <c:pt idx="6">
                  <c:v>审监庭</c:v>
                </c:pt>
                <c:pt idx="7">
                  <c:v>执行一科</c:v>
                </c:pt>
                <c:pt idx="8">
                  <c:v>执行二科</c:v>
                </c:pt>
                <c:pt idx="9">
                  <c:v>综合科</c:v>
                </c:pt>
              </c:strCache>
            </c:strRef>
          </c:cat>
          <c:val>
            <c:numRef>
              <c:f>Sheet1!$B$2:$K$2</c:f>
              <c:numCache>
                <c:formatCode>General</c:formatCode>
                <c:ptCount val="10"/>
                <c:pt idx="0">
                  <c:v>0</c:v>
                </c:pt>
                <c:pt idx="1">
                  <c:v>10</c:v>
                </c:pt>
                <c:pt idx="2">
                  <c:v>89</c:v>
                </c:pt>
                <c:pt idx="3">
                  <c:v>58</c:v>
                </c:pt>
                <c:pt idx="4">
                  <c:v>78</c:v>
                </c:pt>
                <c:pt idx="5">
                  <c:v>19</c:v>
                </c:pt>
                <c:pt idx="6">
                  <c:v>4</c:v>
                </c:pt>
                <c:pt idx="7">
                  <c:v>156</c:v>
                </c:pt>
                <c:pt idx="8">
                  <c:v>151</c:v>
                </c:pt>
                <c:pt idx="9">
                  <c:v>0</c:v>
                </c:pt>
              </c:numCache>
            </c:numRef>
          </c:val>
        </c:ser>
        <c:ser>
          <c:idx val="1"/>
          <c:order val="1"/>
          <c:tx>
            <c:strRef>
              <c:f>Sheet1!$A$3</c:f>
              <c:strCache>
                <c:ptCount val="1"/>
                <c:pt idx="0">
                  <c:v>2016年三季度</c:v>
                </c:pt>
              </c:strCache>
            </c:strRef>
          </c:tx>
          <c:spPr>
            <a:ln w="12688">
              <a:solidFill>
                <a:srgbClr val="666699"/>
              </a:solidFill>
              <a:prstDash val="solid"/>
            </a:ln>
          </c:spPr>
          <c:marker>
            <c:symbol val="diamond"/>
            <c:size val="4"/>
            <c:spPr>
              <a:solidFill>
                <a:srgbClr val="666699"/>
              </a:solidFill>
              <a:ln>
                <a:solidFill>
                  <a:srgbClr val="666699"/>
                </a:solidFill>
                <a:prstDash val="solid"/>
              </a:ln>
            </c:spPr>
          </c:marker>
          <c:cat>
            <c:strRef>
              <c:f>Sheet1!$B$1:$K$1</c:f>
              <c:strCache>
                <c:ptCount val="10"/>
                <c:pt idx="0">
                  <c:v>立案庭</c:v>
                </c:pt>
                <c:pt idx="1">
                  <c:v>刑庭</c:v>
                </c:pt>
                <c:pt idx="2">
                  <c:v>民一庭</c:v>
                </c:pt>
                <c:pt idx="3">
                  <c:v>民二庭</c:v>
                </c:pt>
                <c:pt idx="4">
                  <c:v>头道法庭</c:v>
                </c:pt>
                <c:pt idx="5">
                  <c:v>行政庭</c:v>
                </c:pt>
                <c:pt idx="6">
                  <c:v>审监庭</c:v>
                </c:pt>
                <c:pt idx="7">
                  <c:v>执行一科</c:v>
                </c:pt>
                <c:pt idx="8">
                  <c:v>执行二科</c:v>
                </c:pt>
                <c:pt idx="9">
                  <c:v>综合科</c:v>
                </c:pt>
              </c:strCache>
            </c:strRef>
          </c:cat>
          <c:val>
            <c:numRef>
              <c:f>Sheet1!$B$3:$K$3</c:f>
              <c:numCache>
                <c:formatCode>General</c:formatCode>
                <c:ptCount val="10"/>
                <c:pt idx="0">
                  <c:v>0</c:v>
                </c:pt>
                <c:pt idx="1">
                  <c:v>14</c:v>
                </c:pt>
                <c:pt idx="2">
                  <c:v>106</c:v>
                </c:pt>
                <c:pt idx="3">
                  <c:v>97</c:v>
                </c:pt>
                <c:pt idx="4">
                  <c:v>54</c:v>
                </c:pt>
                <c:pt idx="5">
                  <c:v>10</c:v>
                </c:pt>
                <c:pt idx="6">
                  <c:v>3</c:v>
                </c:pt>
                <c:pt idx="7">
                  <c:v>103</c:v>
                </c:pt>
                <c:pt idx="8">
                  <c:v>200</c:v>
                </c:pt>
                <c:pt idx="9">
                  <c:v>5</c:v>
                </c:pt>
              </c:numCache>
            </c:numRef>
          </c:val>
        </c:ser>
        <c:marker val="1"/>
        <c:axId val="188566912"/>
        <c:axId val="188569088"/>
      </c:lineChart>
      <c:catAx>
        <c:axId val="188566912"/>
        <c:scaling>
          <c:orientation val="minMax"/>
        </c:scaling>
        <c:axPos val="b"/>
        <c:numFmt formatCode="General" sourceLinked="1"/>
        <c:majorTickMark val="in"/>
        <c:tickLblPos val="nextTo"/>
        <c:spPr>
          <a:ln w="3172">
            <a:solidFill>
              <a:srgbClr val="000000"/>
            </a:solidFill>
            <a:prstDash val="solid"/>
          </a:ln>
        </c:spPr>
        <c:txPr>
          <a:bodyPr rot="0" vert="horz"/>
          <a:lstStyle/>
          <a:p>
            <a:pPr>
              <a:defRPr sz="1199" b="0" i="0" u="none" strike="noStrike" baseline="0">
                <a:solidFill>
                  <a:srgbClr val="000000"/>
                </a:solidFill>
                <a:latin typeface="宋体"/>
                <a:ea typeface="宋体"/>
                <a:cs typeface="宋体"/>
              </a:defRPr>
            </a:pPr>
            <a:endParaRPr lang="zh-CN"/>
          </a:p>
        </c:txPr>
        <c:crossAx val="188569088"/>
        <c:crosses val="autoZero"/>
        <c:auto val="1"/>
        <c:lblAlgn val="ctr"/>
        <c:lblOffset val="100"/>
        <c:tickMarkSkip val="1"/>
      </c:catAx>
      <c:valAx>
        <c:axId val="188569088"/>
        <c:scaling>
          <c:orientation val="minMax"/>
        </c:scaling>
        <c:axPos val="l"/>
        <c:majorGridlines>
          <c:spPr>
            <a:ln w="3172">
              <a:solidFill>
                <a:srgbClr val="000000"/>
              </a:solidFill>
              <a:prstDash val="solid"/>
            </a:ln>
          </c:spPr>
        </c:majorGridlines>
        <c:minorGridlines>
          <c:spPr>
            <a:ln w="3172">
              <a:solidFill>
                <a:srgbClr val="000000"/>
              </a:solidFill>
              <a:prstDash val="solid"/>
            </a:ln>
          </c:spPr>
        </c:minorGridlines>
        <c:numFmt formatCode="General" sourceLinked="1"/>
        <c:majorTickMark val="in"/>
        <c:tickLblPos val="nextTo"/>
        <c:spPr>
          <a:ln w="3172">
            <a:solidFill>
              <a:srgbClr val="000000"/>
            </a:solidFill>
            <a:prstDash val="solid"/>
          </a:ln>
        </c:spPr>
        <c:txPr>
          <a:bodyPr rot="0" vert="horz"/>
          <a:lstStyle/>
          <a:p>
            <a:pPr>
              <a:defRPr sz="1199" b="0" i="0" u="none" strike="noStrike" baseline="0">
                <a:solidFill>
                  <a:srgbClr val="000000"/>
                </a:solidFill>
                <a:latin typeface="宋体"/>
                <a:ea typeface="宋体"/>
                <a:cs typeface="宋体"/>
              </a:defRPr>
            </a:pPr>
            <a:endParaRPr lang="zh-CN"/>
          </a:p>
        </c:txPr>
        <c:crossAx val="188566912"/>
        <c:crosses val="autoZero"/>
        <c:crossBetween val="between"/>
      </c:valAx>
      <c:dTable>
        <c:showHorzBorder val="1"/>
        <c:showVertBorder val="1"/>
        <c:showKeys val="1"/>
        <c:spPr>
          <a:ln w="3172">
            <a:solidFill>
              <a:srgbClr val="000000"/>
            </a:solidFill>
            <a:prstDash val="solid"/>
          </a:ln>
        </c:spPr>
        <c:txPr>
          <a:bodyPr/>
          <a:lstStyle/>
          <a:p>
            <a:pPr rtl="0">
              <a:defRPr sz="824" b="0" i="0" u="none" strike="noStrike" baseline="0">
                <a:solidFill>
                  <a:srgbClr val="000000"/>
                </a:solidFill>
                <a:latin typeface="仿宋"/>
                <a:ea typeface="仿宋"/>
                <a:cs typeface="仿宋"/>
              </a:defRPr>
            </a:pPr>
            <a:endParaRPr lang="zh-CN"/>
          </a:p>
        </c:txPr>
      </c:dTable>
      <c:spPr>
        <a:solidFill>
          <a:srgbClr val="FFFFFF"/>
        </a:solidFill>
        <a:ln w="12688">
          <a:solidFill>
            <a:srgbClr val="000000"/>
          </a:solidFill>
          <a:prstDash val="solid"/>
        </a:ln>
      </c:spPr>
    </c:plotArea>
    <c:legend>
      <c:legendPos val="t"/>
      <c:legendEntry>
        <c:idx val="0"/>
        <c:txPr>
          <a:bodyPr/>
          <a:lstStyle/>
          <a:p>
            <a:pPr>
              <a:defRPr sz="824" b="0" i="0" u="none" strike="noStrike" baseline="0">
                <a:solidFill>
                  <a:srgbClr val="000000"/>
                </a:solidFill>
                <a:latin typeface="宋体"/>
                <a:ea typeface="宋体"/>
                <a:cs typeface="宋体"/>
              </a:defRPr>
            </a:pPr>
            <a:endParaRPr lang="zh-CN"/>
          </a:p>
        </c:txPr>
      </c:legendEntry>
      <c:legendEntry>
        <c:idx val="1"/>
        <c:txPr>
          <a:bodyPr/>
          <a:lstStyle/>
          <a:p>
            <a:pPr>
              <a:defRPr sz="824" b="0" i="0" u="none" strike="noStrike" baseline="0">
                <a:solidFill>
                  <a:srgbClr val="000000"/>
                </a:solidFill>
                <a:latin typeface="宋体"/>
                <a:ea typeface="宋体"/>
                <a:cs typeface="宋体"/>
              </a:defRPr>
            </a:pPr>
            <a:endParaRPr lang="zh-CN"/>
          </a:p>
        </c:txPr>
      </c:legendEntry>
      <c:layout>
        <c:manualLayout>
          <c:xMode val="edge"/>
          <c:yMode val="edge"/>
          <c:x val="0.28970331588132625"/>
          <c:y val="0.16974169741697537"/>
          <c:w val="0.47294938917975926"/>
          <c:h val="8.1180811808117023E-2"/>
        </c:manualLayout>
      </c:layout>
      <c:spPr>
        <a:solidFill>
          <a:srgbClr val="FFFFFF"/>
        </a:solidFill>
        <a:ln w="3172">
          <a:solidFill>
            <a:srgbClr val="000000"/>
          </a:solidFill>
          <a:prstDash val="solid"/>
        </a:ln>
      </c:spPr>
      <c:txPr>
        <a:bodyPr/>
        <a:lstStyle/>
        <a:p>
          <a:pPr>
            <a:defRPr sz="1424"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99" b="0" i="0" u="none" strike="noStrike" baseline="0">
          <a:solidFill>
            <a:srgbClr val="000000"/>
          </a:solidFill>
          <a:latin typeface="宋体"/>
          <a:ea typeface="宋体"/>
          <a:cs typeface="宋体"/>
        </a:defRPr>
      </a:pPr>
      <a:endParaRPr lang="zh-CN"/>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375" b="1" i="0" u="none" strike="noStrike" baseline="0">
                <a:solidFill>
                  <a:srgbClr val="000000"/>
                </a:solidFill>
                <a:latin typeface="仿宋"/>
                <a:ea typeface="仿宋"/>
                <a:cs typeface="仿宋"/>
              </a:defRPr>
            </a:pPr>
            <a:r>
              <a:rPr lang="zh-CN" altLang="en-US"/>
              <a:t>图表</a:t>
            </a:r>
            <a:r>
              <a:rPr lang="en-US" altLang="zh-CN"/>
              <a:t>9 </a:t>
            </a:r>
            <a:r>
              <a:rPr lang="zh-CN" altLang="en-US"/>
              <a:t>立案日期在</a:t>
            </a:r>
            <a:r>
              <a:rPr lang="en-US" altLang="zh-CN"/>
              <a:t>2016</a:t>
            </a:r>
            <a:r>
              <a:rPr lang="zh-CN" altLang="en-US"/>
              <a:t>年</a:t>
            </a:r>
            <a:r>
              <a:rPr lang="en-US" altLang="zh-CN"/>
              <a:t>6</a:t>
            </a:r>
            <a:r>
              <a:rPr lang="zh-CN" altLang="en-US"/>
              <a:t>月</a:t>
            </a:r>
            <a:r>
              <a:rPr lang="en-US" altLang="zh-CN"/>
              <a:t>30</a:t>
            </a:r>
            <a:r>
              <a:rPr lang="zh-CN" altLang="en-US"/>
              <a:t>日之前未结案件分布</a:t>
            </a:r>
          </a:p>
        </c:rich>
      </c:tx>
      <c:layout>
        <c:manualLayout>
          <c:xMode val="edge"/>
          <c:yMode val="edge"/>
          <c:x val="0.14659685863874342"/>
          <c:y val="3.7313432835820892E-2"/>
        </c:manualLayout>
      </c:layout>
      <c:spPr>
        <a:noFill/>
        <a:ln w="25405">
          <a:noFill/>
        </a:ln>
      </c:spPr>
    </c:title>
    <c:plotArea>
      <c:layout>
        <c:manualLayout>
          <c:layoutTarget val="inner"/>
          <c:xMode val="edge"/>
          <c:yMode val="edge"/>
          <c:x val="0.18324607329843073"/>
          <c:y val="0.35447761194030153"/>
          <c:w val="0.78883071553228623"/>
          <c:h val="0.46641791044776132"/>
        </c:manualLayout>
      </c:layout>
      <c:barChart>
        <c:barDir val="col"/>
        <c:grouping val="clustered"/>
        <c:ser>
          <c:idx val="0"/>
          <c:order val="0"/>
          <c:tx>
            <c:strRef>
              <c:f>Sheet1!$A$2</c:f>
              <c:strCache>
                <c:ptCount val="1"/>
                <c:pt idx="0">
                  <c:v>超一年未结案件</c:v>
                </c:pt>
              </c:strCache>
            </c:strRef>
          </c:tx>
          <c:spPr>
            <a:solidFill>
              <a:srgbClr val="008080"/>
            </a:solidFill>
            <a:ln w="12703">
              <a:solidFill>
                <a:srgbClr val="000000"/>
              </a:solidFill>
              <a:prstDash val="solid"/>
            </a:ln>
          </c:spPr>
          <c:cat>
            <c:strRef>
              <c:f>Sheet1!$B$1:$K$1</c:f>
              <c:strCache>
                <c:ptCount val="10"/>
                <c:pt idx="0">
                  <c:v>立案庭</c:v>
                </c:pt>
                <c:pt idx="1">
                  <c:v>刑庭</c:v>
                </c:pt>
                <c:pt idx="2">
                  <c:v>民一庭</c:v>
                </c:pt>
                <c:pt idx="3">
                  <c:v>民二庭</c:v>
                </c:pt>
                <c:pt idx="4">
                  <c:v>头道法庭</c:v>
                </c:pt>
                <c:pt idx="5">
                  <c:v>行政庭</c:v>
                </c:pt>
                <c:pt idx="6">
                  <c:v>审监庭</c:v>
                </c:pt>
                <c:pt idx="7">
                  <c:v>执行一科</c:v>
                </c:pt>
                <c:pt idx="8">
                  <c:v>执行二科</c:v>
                </c:pt>
                <c:pt idx="9">
                  <c:v>综合科</c:v>
                </c:pt>
              </c:strCache>
            </c:strRef>
          </c:cat>
          <c:val>
            <c:numRef>
              <c:f>Sheet1!$B$2:$K$2</c:f>
              <c:numCache>
                <c:formatCode>General</c:formatCode>
                <c:ptCount val="10"/>
                <c:pt idx="0">
                  <c:v>0</c:v>
                </c:pt>
                <c:pt idx="1">
                  <c:v>0</c:v>
                </c:pt>
                <c:pt idx="2">
                  <c:v>2</c:v>
                </c:pt>
                <c:pt idx="3">
                  <c:v>4</c:v>
                </c:pt>
                <c:pt idx="4">
                  <c:v>0</c:v>
                </c:pt>
                <c:pt idx="5">
                  <c:v>0</c:v>
                </c:pt>
                <c:pt idx="6">
                  <c:v>0</c:v>
                </c:pt>
                <c:pt idx="7">
                  <c:v>0</c:v>
                </c:pt>
                <c:pt idx="8">
                  <c:v>0</c:v>
                </c:pt>
                <c:pt idx="9">
                  <c:v>0</c:v>
                </c:pt>
              </c:numCache>
            </c:numRef>
          </c:val>
        </c:ser>
        <c:axId val="188595584"/>
        <c:axId val="80340096"/>
      </c:barChart>
      <c:catAx>
        <c:axId val="188595584"/>
        <c:scaling>
          <c:orientation val="minMax"/>
        </c:scaling>
        <c:axPos val="b"/>
        <c:numFmt formatCode="General" sourceLinked="1"/>
        <c:majorTickMark val="in"/>
        <c:tickLblPos val="nextTo"/>
        <c:spPr>
          <a:ln w="3176">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80340096"/>
        <c:crosses val="autoZero"/>
        <c:auto val="1"/>
        <c:lblAlgn val="ctr"/>
        <c:lblOffset val="100"/>
        <c:tickMarkSkip val="1"/>
      </c:catAx>
      <c:valAx>
        <c:axId val="80340096"/>
        <c:scaling>
          <c:orientation val="minMax"/>
        </c:scaling>
        <c:axPos val="l"/>
        <c:majorGridlines>
          <c:spPr>
            <a:ln w="3176">
              <a:solidFill>
                <a:srgbClr val="000000"/>
              </a:solidFill>
              <a:prstDash val="solid"/>
            </a:ln>
          </c:spPr>
        </c:majorGridlines>
        <c:minorGridlines>
          <c:spPr>
            <a:ln w="3176">
              <a:solidFill>
                <a:srgbClr val="000000"/>
              </a:solidFill>
              <a:prstDash val="solid"/>
            </a:ln>
          </c:spPr>
        </c:minorGridlines>
        <c:numFmt formatCode="General" sourceLinked="1"/>
        <c:majorTickMark val="in"/>
        <c:tickLblPos val="nextTo"/>
        <c:spPr>
          <a:ln w="3176">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188595584"/>
        <c:crosses val="autoZero"/>
        <c:crossBetween val="between"/>
      </c:valAx>
      <c:dTable>
        <c:showHorzBorder val="1"/>
        <c:showVertBorder val="1"/>
        <c:showKeys val="1"/>
        <c:spPr>
          <a:ln w="3176">
            <a:solidFill>
              <a:srgbClr val="000000"/>
            </a:solidFill>
            <a:prstDash val="solid"/>
          </a:ln>
        </c:spPr>
        <c:txPr>
          <a:bodyPr/>
          <a:lstStyle/>
          <a:p>
            <a:pPr rtl="0">
              <a:defRPr sz="900" b="0" i="0" u="none" strike="noStrike" baseline="0">
                <a:solidFill>
                  <a:srgbClr val="000000"/>
                </a:solidFill>
                <a:latin typeface="仿宋"/>
                <a:ea typeface="仿宋"/>
                <a:cs typeface="仿宋"/>
              </a:defRPr>
            </a:pPr>
            <a:endParaRPr lang="zh-CN"/>
          </a:p>
        </c:txPr>
      </c:dTable>
      <c:spPr>
        <a:solidFill>
          <a:srgbClr val="FFFFFF"/>
        </a:solidFill>
        <a:ln w="12703">
          <a:solidFill>
            <a:srgbClr val="000000"/>
          </a:solidFill>
          <a:prstDash val="solid"/>
        </a:ln>
      </c:spPr>
    </c:plotArea>
    <c:plotVisOnly val="1"/>
    <c:dispBlanksAs val="gap"/>
  </c:chart>
  <c:spPr>
    <a:noFill/>
    <a:ln>
      <a:noFill/>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8C7B5-EF08-47A1-A58C-B6644872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13</Pages>
  <Words>720</Words>
  <Characters>4104</Characters>
  <Application>Microsoft Office Word</Application>
  <DocSecurity>0</DocSecurity>
  <PresentationFormat/>
  <Lines>34</Lines>
  <Paragraphs>9</Paragraphs>
  <Slides>0</Slides>
  <Notes>0</Notes>
  <HiddenSlides>0</HiddenSlides>
  <MMClips>0</MMClips>
  <ScaleCrop>false</ScaleCrop>
  <Company>china</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吉林省高级人民法院</dc:title>
  <dc:creator>think</dc:creator>
  <cp:lastModifiedBy>user</cp:lastModifiedBy>
  <cp:revision>21</cp:revision>
  <cp:lastPrinted>2017-10-13T04:23:00Z</cp:lastPrinted>
  <dcterms:created xsi:type="dcterms:W3CDTF">2017-07-24T06:53:00Z</dcterms:created>
  <dcterms:modified xsi:type="dcterms:W3CDTF">2017-10-16T02:41:00Z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2052-9.1.0.4716</vt:lpwstr>
  </property>
</Properties>
</file>