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F5790" w:rsidRPr="00174008" w:rsidRDefault="00EA68C7">
      <w:pPr>
        <w:snapToGrid w:val="0"/>
        <w:spacing w:line="560" w:lineRule="exact"/>
        <w:jc w:val="center"/>
        <w:rPr>
          <w:rFonts w:asciiTheme="majorEastAsia" w:eastAsiaTheme="majorEastAsia" w:hAnsiTheme="majorEastAsia"/>
          <w:b/>
          <w:sz w:val="44"/>
          <w:szCs w:val="44"/>
        </w:rPr>
      </w:pPr>
      <w:r w:rsidRPr="00174008">
        <w:rPr>
          <w:rFonts w:asciiTheme="majorEastAsia" w:eastAsiaTheme="majorEastAsia" w:hAnsiTheme="majorEastAsia" w:hint="eastAsia"/>
          <w:b/>
          <w:sz w:val="44"/>
          <w:szCs w:val="44"/>
        </w:rPr>
        <w:t>和龙市</w:t>
      </w:r>
      <w:r w:rsidR="000F5790" w:rsidRPr="00174008">
        <w:rPr>
          <w:rFonts w:asciiTheme="majorEastAsia" w:eastAsiaTheme="majorEastAsia" w:hAnsiTheme="majorEastAsia" w:hint="eastAsia"/>
          <w:b/>
          <w:sz w:val="44"/>
          <w:szCs w:val="44"/>
        </w:rPr>
        <w:t>人民法院</w:t>
      </w:r>
    </w:p>
    <w:p w:rsidR="000F5790" w:rsidRPr="00174008" w:rsidRDefault="00636A9E" w:rsidP="003D73F6">
      <w:pPr>
        <w:tabs>
          <w:tab w:val="left" w:pos="1134"/>
        </w:tabs>
        <w:snapToGrid w:val="0"/>
        <w:spacing w:line="560" w:lineRule="exact"/>
        <w:jc w:val="center"/>
        <w:rPr>
          <w:rFonts w:asciiTheme="majorEastAsia" w:eastAsiaTheme="majorEastAsia" w:hAnsiTheme="majorEastAsia"/>
          <w:b/>
          <w:sz w:val="44"/>
          <w:szCs w:val="44"/>
        </w:rPr>
      </w:pPr>
      <w:r w:rsidRPr="00174008">
        <w:rPr>
          <w:rFonts w:asciiTheme="majorEastAsia" w:eastAsiaTheme="majorEastAsia" w:hAnsiTheme="majorEastAsia" w:hint="eastAsia"/>
          <w:b/>
          <w:sz w:val="44"/>
          <w:szCs w:val="44"/>
        </w:rPr>
        <w:t>2017年</w:t>
      </w:r>
      <w:r w:rsidR="003B6014" w:rsidRPr="00174008">
        <w:rPr>
          <w:rFonts w:asciiTheme="majorEastAsia" w:eastAsiaTheme="majorEastAsia" w:hAnsiTheme="majorEastAsia" w:hint="eastAsia"/>
          <w:b/>
          <w:sz w:val="44"/>
          <w:szCs w:val="44"/>
        </w:rPr>
        <w:t>上半年</w:t>
      </w:r>
      <w:r w:rsidR="000F5790" w:rsidRPr="00174008">
        <w:rPr>
          <w:rFonts w:asciiTheme="majorEastAsia" w:eastAsiaTheme="majorEastAsia" w:hAnsiTheme="majorEastAsia" w:hint="eastAsia"/>
          <w:b/>
          <w:sz w:val="44"/>
          <w:szCs w:val="44"/>
        </w:rPr>
        <w:t>审判运行</w:t>
      </w:r>
      <w:r w:rsidR="0065770E" w:rsidRPr="00174008">
        <w:rPr>
          <w:rFonts w:asciiTheme="majorEastAsia" w:eastAsiaTheme="majorEastAsia" w:hAnsiTheme="majorEastAsia" w:hint="eastAsia"/>
          <w:b/>
          <w:sz w:val="44"/>
          <w:szCs w:val="44"/>
        </w:rPr>
        <w:t>态势</w:t>
      </w:r>
      <w:r w:rsidR="000F5790" w:rsidRPr="00174008">
        <w:rPr>
          <w:rFonts w:asciiTheme="majorEastAsia" w:eastAsiaTheme="majorEastAsia" w:hAnsiTheme="majorEastAsia" w:hint="eastAsia"/>
          <w:b/>
          <w:sz w:val="44"/>
          <w:szCs w:val="44"/>
        </w:rPr>
        <w:t>分析报告</w:t>
      </w:r>
    </w:p>
    <w:p w:rsidR="000F5790" w:rsidRPr="00174008" w:rsidRDefault="000F5790" w:rsidP="007213EB">
      <w:pPr>
        <w:snapToGrid w:val="0"/>
        <w:spacing w:line="360" w:lineRule="auto"/>
        <w:ind w:firstLineChars="200" w:firstLine="640"/>
        <w:textAlignment w:val="baseline"/>
        <w:rPr>
          <w:rFonts w:asciiTheme="majorEastAsia" w:eastAsiaTheme="majorEastAsia" w:hAnsiTheme="majorEastAsia"/>
        </w:rPr>
      </w:pPr>
    </w:p>
    <w:p w:rsidR="006E6C68" w:rsidRPr="00174008" w:rsidRDefault="000F5790" w:rsidP="002C1BAF">
      <w:pPr>
        <w:snapToGrid w:val="0"/>
        <w:spacing w:line="360" w:lineRule="auto"/>
        <w:ind w:firstLineChars="200" w:firstLine="643"/>
        <w:rPr>
          <w:rFonts w:asciiTheme="majorEastAsia" w:eastAsiaTheme="majorEastAsia" w:hAnsiTheme="majorEastAsia"/>
          <w:b/>
        </w:rPr>
      </w:pPr>
      <w:r w:rsidRPr="00174008">
        <w:rPr>
          <w:rFonts w:asciiTheme="majorEastAsia" w:eastAsiaTheme="majorEastAsia" w:hAnsiTheme="majorEastAsia" w:hint="eastAsia"/>
          <w:b/>
        </w:rPr>
        <w:t>一、</w:t>
      </w:r>
      <w:r w:rsidR="00E20F54" w:rsidRPr="00174008">
        <w:rPr>
          <w:rFonts w:asciiTheme="majorEastAsia" w:eastAsiaTheme="majorEastAsia" w:hAnsiTheme="majorEastAsia" w:hint="eastAsia"/>
          <w:b/>
        </w:rPr>
        <w:t>审判执行收结案情况</w:t>
      </w:r>
    </w:p>
    <w:p w:rsidR="000F5790" w:rsidRPr="00174008" w:rsidRDefault="000F5790" w:rsidP="002C1BAF">
      <w:pPr>
        <w:snapToGrid w:val="0"/>
        <w:spacing w:line="360" w:lineRule="auto"/>
        <w:ind w:firstLineChars="200" w:firstLine="643"/>
        <w:rPr>
          <w:rFonts w:asciiTheme="majorEastAsia" w:eastAsiaTheme="majorEastAsia" w:hAnsiTheme="majorEastAsia"/>
        </w:rPr>
      </w:pPr>
      <w:r w:rsidRPr="00174008">
        <w:rPr>
          <w:rFonts w:asciiTheme="majorEastAsia" w:eastAsiaTheme="majorEastAsia" w:hAnsiTheme="majorEastAsia" w:hint="eastAsia"/>
          <w:b/>
        </w:rPr>
        <w:t>（一）</w:t>
      </w:r>
      <w:r w:rsidR="0028427E" w:rsidRPr="00174008">
        <w:rPr>
          <w:rFonts w:asciiTheme="majorEastAsia" w:eastAsiaTheme="majorEastAsia" w:hAnsiTheme="majorEastAsia" w:hint="eastAsia"/>
          <w:b/>
        </w:rPr>
        <w:t>收结案件情况</w:t>
      </w:r>
    </w:p>
    <w:p w:rsidR="00524F89" w:rsidRPr="00174008" w:rsidRDefault="00524F89" w:rsidP="00524F89">
      <w:pPr>
        <w:snapToGrid w:val="0"/>
        <w:spacing w:line="360" w:lineRule="auto"/>
        <w:ind w:firstLineChars="200" w:firstLine="640"/>
        <w:rPr>
          <w:rFonts w:asciiTheme="majorEastAsia" w:eastAsiaTheme="majorEastAsia" w:hAnsiTheme="majorEastAsia"/>
          <w:shd w:val="clear" w:color="auto" w:fill="FFFFFF"/>
        </w:rPr>
      </w:pPr>
      <w:r w:rsidRPr="00174008">
        <w:rPr>
          <w:rFonts w:asciiTheme="majorEastAsia" w:eastAsiaTheme="majorEastAsia" w:hAnsiTheme="majorEastAsia" w:hint="eastAsia"/>
        </w:rPr>
        <w:t>2017年1月1日至6月30日全院共受理各类案</w:t>
      </w:r>
      <w:bookmarkStart w:id="0" w:name="_GoBack"/>
      <w:bookmarkEnd w:id="0"/>
      <w:r w:rsidRPr="00174008">
        <w:rPr>
          <w:rFonts w:asciiTheme="majorEastAsia" w:eastAsiaTheme="majorEastAsia" w:hAnsiTheme="majorEastAsia" w:hint="eastAsia"/>
        </w:rPr>
        <w:t>件1446件,其中，旧存212件,同比</w:t>
      </w:r>
      <w:r w:rsidR="00E92AA7" w:rsidRPr="00174008">
        <w:rPr>
          <w:rFonts w:asciiTheme="majorEastAsia" w:eastAsiaTheme="majorEastAsia" w:hAnsiTheme="majorEastAsia" w:hint="eastAsia"/>
        </w:rPr>
        <w:t>下降</w:t>
      </w:r>
      <w:r w:rsidRPr="00174008">
        <w:rPr>
          <w:rFonts w:asciiTheme="majorEastAsia" w:eastAsiaTheme="majorEastAsia" w:hAnsiTheme="majorEastAsia" w:hint="eastAsia"/>
        </w:rPr>
        <w:t>18.43%；新收1234件，同比上升28.41%，审执结951件，同比上升29.21%;未结案件495件，同比上升2.06%。全院人均受理案件数57.84件，同比上升32.66%，全院人均结案数38.04件，同比上升44.69%。</w:t>
      </w:r>
      <w:r w:rsidRPr="00174008">
        <w:rPr>
          <w:rFonts w:asciiTheme="majorEastAsia" w:eastAsiaTheme="majorEastAsia" w:hAnsiTheme="majorEastAsia" w:hint="eastAsia"/>
          <w:shd w:val="clear" w:color="auto" w:fill="FFFFFF"/>
        </w:rPr>
        <w:t>全院结案率65.77%，同比上升5.49个百分点。</w:t>
      </w:r>
    </w:p>
    <w:p w:rsidR="00F42CCC" w:rsidRPr="00174008" w:rsidRDefault="0080169B" w:rsidP="007850FD">
      <w:pPr>
        <w:snapToGrid w:val="0"/>
        <w:jc w:val="center"/>
        <w:rPr>
          <w:rFonts w:asciiTheme="majorEastAsia" w:eastAsiaTheme="majorEastAsia" w:hAnsiTheme="majorEastAsia"/>
          <w:shd w:val="clear" w:color="auto" w:fill="FFFFFF"/>
        </w:rPr>
      </w:pPr>
      <w:r w:rsidRPr="00174008">
        <w:rPr>
          <w:rFonts w:asciiTheme="majorEastAsia" w:eastAsiaTheme="majorEastAsia" w:hAnsiTheme="majorEastAsia"/>
          <w:noProof/>
        </w:rPr>
        <w:drawing>
          <wp:inline distT="0" distB="0" distL="0" distR="0">
            <wp:extent cx="5486400" cy="3648710"/>
            <wp:effectExtent l="0" t="0" r="0" b="0"/>
            <wp:docPr id="1" name="对象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174008">
        <w:rPr>
          <w:rFonts w:asciiTheme="majorEastAsia" w:eastAsiaTheme="majorEastAsia" w:hAnsiTheme="majorEastAsia"/>
          <w:noProof/>
          <w:color w:val="FF0000"/>
        </w:rPr>
        <w:lastRenderedPageBreak/>
        <w:drawing>
          <wp:inline distT="0" distB="0" distL="0" distR="0">
            <wp:extent cx="5546725" cy="2432685"/>
            <wp:effectExtent l="0" t="0" r="0" b="0"/>
            <wp:docPr id="2" name="对象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D2572" w:rsidRPr="00174008" w:rsidRDefault="00FD2572" w:rsidP="00821A47">
      <w:pPr>
        <w:snapToGrid w:val="0"/>
        <w:spacing w:line="360" w:lineRule="auto"/>
        <w:ind w:firstLineChars="200" w:firstLine="643"/>
        <w:jc w:val="left"/>
        <w:rPr>
          <w:rFonts w:asciiTheme="majorEastAsia" w:eastAsiaTheme="majorEastAsia" w:hAnsiTheme="majorEastAsia"/>
        </w:rPr>
      </w:pPr>
      <w:r w:rsidRPr="00174008">
        <w:rPr>
          <w:rFonts w:asciiTheme="majorEastAsia" w:eastAsiaTheme="majorEastAsia" w:hAnsiTheme="majorEastAsia" w:hint="eastAsia"/>
          <w:b/>
        </w:rPr>
        <w:t>（二）新收案件情况</w:t>
      </w:r>
    </w:p>
    <w:p w:rsidR="00673AC0" w:rsidRPr="00174008" w:rsidRDefault="00673AC0" w:rsidP="00821A47">
      <w:pPr>
        <w:snapToGrid w:val="0"/>
        <w:spacing w:line="360" w:lineRule="auto"/>
        <w:ind w:firstLineChars="200" w:firstLine="602"/>
        <w:rPr>
          <w:rFonts w:asciiTheme="majorEastAsia" w:eastAsiaTheme="majorEastAsia" w:hAnsiTheme="majorEastAsia"/>
          <w:b/>
          <w:sz w:val="30"/>
          <w:szCs w:val="30"/>
        </w:rPr>
      </w:pPr>
      <w:r w:rsidRPr="00174008">
        <w:rPr>
          <w:rFonts w:asciiTheme="majorEastAsia" w:eastAsiaTheme="majorEastAsia" w:hAnsiTheme="majorEastAsia" w:hint="eastAsia"/>
          <w:b/>
          <w:sz w:val="30"/>
          <w:szCs w:val="30"/>
        </w:rPr>
        <w:t>1.</w:t>
      </w:r>
      <w:r w:rsidR="008C21CD" w:rsidRPr="00174008">
        <w:rPr>
          <w:rFonts w:asciiTheme="majorEastAsia" w:eastAsiaTheme="majorEastAsia" w:hAnsiTheme="majorEastAsia" w:hint="eastAsia"/>
          <w:b/>
          <w:sz w:val="30"/>
          <w:szCs w:val="30"/>
        </w:rPr>
        <w:t>总体情况</w:t>
      </w:r>
    </w:p>
    <w:p w:rsidR="008C21CD" w:rsidRPr="00174008" w:rsidRDefault="00636A9E" w:rsidP="008C21CD">
      <w:pPr>
        <w:snapToGrid w:val="0"/>
        <w:spacing w:line="360" w:lineRule="auto"/>
        <w:ind w:firstLineChars="200" w:firstLine="640"/>
        <w:rPr>
          <w:rFonts w:asciiTheme="majorEastAsia" w:eastAsiaTheme="majorEastAsia" w:hAnsiTheme="majorEastAsia"/>
        </w:rPr>
      </w:pPr>
      <w:r w:rsidRPr="00174008">
        <w:rPr>
          <w:rFonts w:asciiTheme="majorEastAsia" w:eastAsiaTheme="majorEastAsia" w:hAnsiTheme="majorEastAsia" w:hint="eastAsia"/>
        </w:rPr>
        <w:t>2017年</w:t>
      </w:r>
      <w:r w:rsidR="003B6014" w:rsidRPr="00174008">
        <w:rPr>
          <w:rFonts w:asciiTheme="majorEastAsia" w:eastAsiaTheme="majorEastAsia" w:hAnsiTheme="majorEastAsia" w:hint="eastAsia"/>
        </w:rPr>
        <w:t>上半年</w:t>
      </w:r>
      <w:r w:rsidR="008C21CD" w:rsidRPr="00174008">
        <w:rPr>
          <w:rFonts w:asciiTheme="majorEastAsia" w:eastAsiaTheme="majorEastAsia" w:hAnsiTheme="majorEastAsia" w:hint="eastAsia"/>
        </w:rPr>
        <w:t>和龙市人民法院新收案件呈</w:t>
      </w:r>
      <w:r w:rsidR="00A56FA5" w:rsidRPr="00174008">
        <w:rPr>
          <w:rFonts w:asciiTheme="majorEastAsia" w:eastAsiaTheme="majorEastAsia" w:hAnsiTheme="majorEastAsia" w:hint="eastAsia"/>
        </w:rPr>
        <w:t>上升趋</w:t>
      </w:r>
      <w:r w:rsidR="008C21CD" w:rsidRPr="00174008">
        <w:rPr>
          <w:rFonts w:asciiTheme="majorEastAsia" w:eastAsiaTheme="majorEastAsia" w:hAnsiTheme="majorEastAsia" w:hint="eastAsia"/>
        </w:rPr>
        <w:t>势，新收</w:t>
      </w:r>
      <w:r w:rsidR="005B4C73" w:rsidRPr="00174008">
        <w:rPr>
          <w:rFonts w:asciiTheme="majorEastAsia" w:eastAsiaTheme="majorEastAsia" w:hAnsiTheme="majorEastAsia" w:hint="eastAsia"/>
        </w:rPr>
        <w:t>1234</w:t>
      </w:r>
      <w:r w:rsidR="008C21CD" w:rsidRPr="00174008">
        <w:rPr>
          <w:rFonts w:asciiTheme="majorEastAsia" w:eastAsiaTheme="majorEastAsia" w:hAnsiTheme="majorEastAsia" w:hint="eastAsia"/>
        </w:rPr>
        <w:t>件，同比</w:t>
      </w:r>
      <w:r w:rsidR="00A56FA5" w:rsidRPr="00174008">
        <w:rPr>
          <w:rFonts w:asciiTheme="majorEastAsia" w:eastAsiaTheme="majorEastAsia" w:hAnsiTheme="majorEastAsia" w:hint="eastAsia"/>
        </w:rPr>
        <w:t>增加</w:t>
      </w:r>
      <w:r w:rsidR="005B4C73" w:rsidRPr="00174008">
        <w:rPr>
          <w:rFonts w:asciiTheme="majorEastAsia" w:eastAsiaTheme="majorEastAsia" w:hAnsiTheme="majorEastAsia" w:hint="eastAsia"/>
        </w:rPr>
        <w:t>273</w:t>
      </w:r>
      <w:r w:rsidR="008C21CD" w:rsidRPr="00174008">
        <w:rPr>
          <w:rFonts w:asciiTheme="majorEastAsia" w:eastAsiaTheme="majorEastAsia" w:hAnsiTheme="majorEastAsia" w:hint="eastAsia"/>
        </w:rPr>
        <w:t>件，</w:t>
      </w:r>
      <w:r w:rsidR="003C10EF" w:rsidRPr="00174008">
        <w:rPr>
          <w:rFonts w:asciiTheme="majorEastAsia" w:eastAsiaTheme="majorEastAsia" w:hAnsiTheme="majorEastAsia" w:hint="eastAsia"/>
        </w:rPr>
        <w:t>上升</w:t>
      </w:r>
      <w:r w:rsidR="005B4C73" w:rsidRPr="00174008">
        <w:rPr>
          <w:rFonts w:asciiTheme="majorEastAsia" w:eastAsiaTheme="majorEastAsia" w:hAnsiTheme="majorEastAsia" w:hint="eastAsia"/>
        </w:rPr>
        <w:t>28.41</w:t>
      </w:r>
      <w:r w:rsidR="008C21CD" w:rsidRPr="00174008">
        <w:rPr>
          <w:rFonts w:asciiTheme="majorEastAsia" w:eastAsiaTheme="majorEastAsia" w:hAnsiTheme="majorEastAsia" w:hint="eastAsia"/>
        </w:rPr>
        <w:t>%</w:t>
      </w:r>
      <w:r w:rsidR="00A47A31" w:rsidRPr="00174008">
        <w:rPr>
          <w:rFonts w:asciiTheme="majorEastAsia" w:eastAsiaTheme="majorEastAsia" w:hAnsiTheme="majorEastAsia" w:hint="eastAsia"/>
        </w:rPr>
        <w:t>。</w:t>
      </w:r>
    </w:p>
    <w:p w:rsidR="008C21CD" w:rsidRPr="00174008" w:rsidRDefault="008C21CD" w:rsidP="00821A47">
      <w:pPr>
        <w:snapToGrid w:val="0"/>
        <w:spacing w:line="360" w:lineRule="auto"/>
        <w:ind w:firstLineChars="200" w:firstLine="602"/>
        <w:rPr>
          <w:rFonts w:asciiTheme="majorEastAsia" w:eastAsiaTheme="majorEastAsia" w:hAnsiTheme="majorEastAsia"/>
          <w:sz w:val="30"/>
          <w:szCs w:val="30"/>
        </w:rPr>
      </w:pPr>
      <w:r w:rsidRPr="00174008">
        <w:rPr>
          <w:rFonts w:asciiTheme="majorEastAsia" w:eastAsiaTheme="majorEastAsia" w:hAnsiTheme="majorEastAsia" w:hint="eastAsia"/>
          <w:b/>
          <w:sz w:val="30"/>
          <w:szCs w:val="30"/>
        </w:rPr>
        <w:t>2.案件类型</w:t>
      </w:r>
    </w:p>
    <w:p w:rsidR="00A603AA" w:rsidRPr="00174008" w:rsidRDefault="00636A9E" w:rsidP="00F1353A">
      <w:pPr>
        <w:tabs>
          <w:tab w:val="left" w:pos="800"/>
        </w:tabs>
        <w:snapToGrid w:val="0"/>
        <w:spacing w:line="360" w:lineRule="auto"/>
        <w:ind w:firstLineChars="200" w:firstLine="640"/>
        <w:rPr>
          <w:rFonts w:asciiTheme="majorEastAsia" w:eastAsiaTheme="majorEastAsia" w:hAnsiTheme="majorEastAsia"/>
        </w:rPr>
      </w:pPr>
      <w:r w:rsidRPr="00174008">
        <w:rPr>
          <w:rFonts w:asciiTheme="majorEastAsia" w:eastAsiaTheme="majorEastAsia" w:hAnsiTheme="majorEastAsia" w:hint="eastAsia"/>
        </w:rPr>
        <w:t>2017年</w:t>
      </w:r>
      <w:r w:rsidR="003B6014" w:rsidRPr="00174008">
        <w:rPr>
          <w:rFonts w:asciiTheme="majorEastAsia" w:eastAsiaTheme="majorEastAsia" w:hAnsiTheme="majorEastAsia" w:hint="eastAsia"/>
        </w:rPr>
        <w:t>上半年</w:t>
      </w:r>
      <w:r w:rsidR="00A603AA" w:rsidRPr="00174008">
        <w:rPr>
          <w:rFonts w:asciiTheme="majorEastAsia" w:eastAsiaTheme="majorEastAsia" w:hAnsiTheme="majorEastAsia" w:hint="eastAsia"/>
        </w:rPr>
        <w:t>和龙市人民法院各类型案件中的</w:t>
      </w:r>
      <w:r w:rsidR="00870909" w:rsidRPr="00174008">
        <w:rPr>
          <w:rFonts w:asciiTheme="majorEastAsia" w:eastAsiaTheme="majorEastAsia" w:hAnsiTheme="majorEastAsia" w:hint="eastAsia"/>
        </w:rPr>
        <w:t>民事案件、</w:t>
      </w:r>
      <w:r w:rsidR="000265BC" w:rsidRPr="00174008">
        <w:rPr>
          <w:rFonts w:asciiTheme="majorEastAsia" w:eastAsiaTheme="majorEastAsia" w:hAnsiTheme="majorEastAsia" w:hint="eastAsia"/>
        </w:rPr>
        <w:t>行政案件、</w:t>
      </w:r>
      <w:r w:rsidR="00870909" w:rsidRPr="00174008">
        <w:rPr>
          <w:rFonts w:asciiTheme="majorEastAsia" w:eastAsiaTheme="majorEastAsia" w:hAnsiTheme="majorEastAsia" w:hint="eastAsia"/>
        </w:rPr>
        <w:t>赔偿案件</w:t>
      </w:r>
      <w:r w:rsidR="000265BC" w:rsidRPr="00174008">
        <w:rPr>
          <w:rFonts w:asciiTheme="majorEastAsia" w:eastAsiaTheme="majorEastAsia" w:hAnsiTheme="majorEastAsia" w:hint="eastAsia"/>
        </w:rPr>
        <w:t>、执行案件</w:t>
      </w:r>
      <w:r w:rsidR="00870909" w:rsidRPr="00174008">
        <w:rPr>
          <w:rFonts w:asciiTheme="majorEastAsia" w:eastAsiaTheme="majorEastAsia" w:hAnsiTheme="majorEastAsia" w:hint="eastAsia"/>
        </w:rPr>
        <w:t>新收数量均呈上升态势，</w:t>
      </w:r>
      <w:r w:rsidR="003C76E4" w:rsidRPr="00174008">
        <w:rPr>
          <w:rFonts w:asciiTheme="majorEastAsia" w:eastAsiaTheme="majorEastAsia" w:hAnsiTheme="majorEastAsia" w:hint="eastAsia"/>
        </w:rPr>
        <w:t>刑事案件、</w:t>
      </w:r>
      <w:r w:rsidR="00A15DF7" w:rsidRPr="00174008">
        <w:rPr>
          <w:rFonts w:asciiTheme="majorEastAsia" w:eastAsiaTheme="majorEastAsia" w:hAnsiTheme="majorEastAsia" w:hint="eastAsia"/>
        </w:rPr>
        <w:t>审查监督案件新收数量呈下降趋势</w:t>
      </w:r>
      <w:r w:rsidR="00870909" w:rsidRPr="00174008">
        <w:rPr>
          <w:rFonts w:asciiTheme="majorEastAsia" w:eastAsiaTheme="majorEastAsia" w:hAnsiTheme="majorEastAsia" w:hint="eastAsia"/>
        </w:rPr>
        <w:t>，</w:t>
      </w:r>
      <w:r w:rsidR="000265BC" w:rsidRPr="00174008">
        <w:rPr>
          <w:rFonts w:asciiTheme="majorEastAsia" w:eastAsiaTheme="majorEastAsia" w:hAnsiTheme="majorEastAsia" w:hint="eastAsia"/>
        </w:rPr>
        <w:t>刑罚变更案件</w:t>
      </w:r>
      <w:r w:rsidR="001C54EA" w:rsidRPr="00174008">
        <w:rPr>
          <w:rFonts w:asciiTheme="majorEastAsia" w:eastAsiaTheme="majorEastAsia" w:hAnsiTheme="majorEastAsia" w:hint="eastAsia"/>
        </w:rPr>
        <w:t>整体新收案件数与去年同期相比</w:t>
      </w:r>
      <w:r w:rsidR="000265BC" w:rsidRPr="00174008">
        <w:rPr>
          <w:rFonts w:asciiTheme="majorEastAsia" w:eastAsiaTheme="majorEastAsia" w:hAnsiTheme="majorEastAsia" w:hint="eastAsia"/>
        </w:rPr>
        <w:t>数量不变，无波动</w:t>
      </w:r>
      <w:r w:rsidR="00A15DF7" w:rsidRPr="00174008">
        <w:rPr>
          <w:rFonts w:asciiTheme="majorEastAsia" w:eastAsiaTheme="majorEastAsia" w:hAnsiTheme="majorEastAsia" w:hint="eastAsia"/>
        </w:rPr>
        <w:t>。</w:t>
      </w:r>
    </w:p>
    <w:tbl>
      <w:tblPr>
        <w:tblW w:w="8959" w:type="dxa"/>
        <w:tblInd w:w="94" w:type="dxa"/>
        <w:tblLook w:val="04A0"/>
      </w:tblPr>
      <w:tblGrid>
        <w:gridCol w:w="1775"/>
        <w:gridCol w:w="1775"/>
        <w:gridCol w:w="1775"/>
        <w:gridCol w:w="1775"/>
        <w:gridCol w:w="1859"/>
      </w:tblGrid>
      <w:tr w:rsidR="001E5771" w:rsidRPr="00174008" w:rsidTr="003A509D">
        <w:trPr>
          <w:trHeight w:val="240"/>
        </w:trPr>
        <w:tc>
          <w:tcPr>
            <w:tcW w:w="1775" w:type="dxa"/>
            <w:tcBorders>
              <w:top w:val="single" w:sz="4" w:space="0" w:color="auto"/>
              <w:left w:val="single" w:sz="4" w:space="0" w:color="auto"/>
              <w:bottom w:val="nil"/>
              <w:right w:val="single" w:sz="4" w:space="0" w:color="auto"/>
            </w:tcBorders>
            <w:shd w:val="clear" w:color="auto" w:fill="auto"/>
            <w:noWrap/>
            <w:vAlign w:val="center"/>
            <w:hideMark/>
          </w:tcPr>
          <w:p w:rsidR="001E5771" w:rsidRPr="00174008" w:rsidRDefault="001E5771" w:rsidP="001E5771">
            <w:pPr>
              <w:widowControl/>
              <w:jc w:val="center"/>
              <w:rPr>
                <w:rFonts w:asciiTheme="majorEastAsia" w:eastAsiaTheme="majorEastAsia" w:hAnsiTheme="majorEastAsia" w:cs="Arial"/>
                <w:kern w:val="0"/>
                <w:sz w:val="20"/>
                <w:szCs w:val="20"/>
              </w:rPr>
            </w:pPr>
            <w:r w:rsidRPr="00174008">
              <w:rPr>
                <w:rFonts w:asciiTheme="majorEastAsia" w:eastAsiaTheme="majorEastAsia" w:hAnsiTheme="majorEastAsia" w:cs="Arial" w:hint="eastAsia"/>
                <w:kern w:val="0"/>
                <w:sz w:val="20"/>
                <w:szCs w:val="20"/>
              </w:rPr>
              <w:t>新收案件</w:t>
            </w:r>
          </w:p>
        </w:tc>
        <w:tc>
          <w:tcPr>
            <w:tcW w:w="1775" w:type="dxa"/>
            <w:tcBorders>
              <w:top w:val="single" w:sz="4" w:space="0" w:color="auto"/>
              <w:left w:val="nil"/>
              <w:bottom w:val="nil"/>
              <w:right w:val="single" w:sz="4" w:space="0" w:color="auto"/>
            </w:tcBorders>
            <w:shd w:val="clear" w:color="auto" w:fill="auto"/>
            <w:noWrap/>
            <w:vAlign w:val="center"/>
            <w:hideMark/>
          </w:tcPr>
          <w:p w:rsidR="001E5771" w:rsidRPr="00174008" w:rsidRDefault="001E5771" w:rsidP="001E5771">
            <w:pPr>
              <w:widowControl/>
              <w:jc w:val="center"/>
              <w:rPr>
                <w:rFonts w:asciiTheme="majorEastAsia" w:eastAsiaTheme="majorEastAsia" w:hAnsiTheme="majorEastAsia" w:cs="Arial"/>
                <w:kern w:val="0"/>
                <w:sz w:val="20"/>
                <w:szCs w:val="20"/>
              </w:rPr>
            </w:pPr>
            <w:r w:rsidRPr="00174008">
              <w:rPr>
                <w:rFonts w:asciiTheme="majorEastAsia" w:eastAsiaTheme="majorEastAsia" w:hAnsiTheme="majorEastAsia" w:cs="Arial" w:hint="eastAsia"/>
                <w:kern w:val="0"/>
                <w:sz w:val="20"/>
                <w:szCs w:val="20"/>
              </w:rPr>
              <w:t>2017</w:t>
            </w:r>
            <w:r w:rsidR="001621F9" w:rsidRPr="00174008">
              <w:rPr>
                <w:rFonts w:asciiTheme="majorEastAsia" w:eastAsiaTheme="majorEastAsia" w:hAnsiTheme="majorEastAsia" w:cs="Arial" w:hint="eastAsia"/>
                <w:kern w:val="0"/>
                <w:sz w:val="20"/>
                <w:szCs w:val="20"/>
              </w:rPr>
              <w:t>上半年</w:t>
            </w:r>
          </w:p>
        </w:tc>
        <w:tc>
          <w:tcPr>
            <w:tcW w:w="1775" w:type="dxa"/>
            <w:tcBorders>
              <w:top w:val="single" w:sz="4" w:space="0" w:color="auto"/>
              <w:left w:val="nil"/>
              <w:bottom w:val="nil"/>
              <w:right w:val="single" w:sz="4" w:space="0" w:color="auto"/>
            </w:tcBorders>
            <w:shd w:val="clear" w:color="auto" w:fill="auto"/>
            <w:noWrap/>
            <w:vAlign w:val="center"/>
            <w:hideMark/>
          </w:tcPr>
          <w:p w:rsidR="001E5771" w:rsidRPr="00174008" w:rsidRDefault="001E5771" w:rsidP="001E5771">
            <w:pPr>
              <w:widowControl/>
              <w:jc w:val="center"/>
              <w:rPr>
                <w:rFonts w:asciiTheme="majorEastAsia" w:eastAsiaTheme="majorEastAsia" w:hAnsiTheme="majorEastAsia" w:cs="Arial"/>
                <w:kern w:val="0"/>
                <w:sz w:val="20"/>
                <w:szCs w:val="20"/>
              </w:rPr>
            </w:pPr>
            <w:r w:rsidRPr="00174008">
              <w:rPr>
                <w:rFonts w:asciiTheme="majorEastAsia" w:eastAsiaTheme="majorEastAsia" w:hAnsiTheme="majorEastAsia" w:cs="Arial"/>
                <w:kern w:val="0"/>
                <w:sz w:val="20"/>
                <w:szCs w:val="20"/>
              </w:rPr>
              <w:t>2016</w:t>
            </w:r>
            <w:r w:rsidR="001621F9" w:rsidRPr="00174008">
              <w:rPr>
                <w:rFonts w:asciiTheme="majorEastAsia" w:eastAsiaTheme="majorEastAsia" w:hAnsiTheme="majorEastAsia" w:cs="Arial" w:hint="eastAsia"/>
                <w:kern w:val="0"/>
                <w:sz w:val="20"/>
                <w:szCs w:val="20"/>
              </w:rPr>
              <w:t>上半年</w:t>
            </w:r>
          </w:p>
        </w:tc>
        <w:tc>
          <w:tcPr>
            <w:tcW w:w="1775" w:type="dxa"/>
            <w:tcBorders>
              <w:top w:val="single" w:sz="4" w:space="0" w:color="auto"/>
              <w:left w:val="single" w:sz="4" w:space="0" w:color="auto"/>
              <w:bottom w:val="nil"/>
              <w:right w:val="single" w:sz="4" w:space="0" w:color="auto"/>
            </w:tcBorders>
            <w:shd w:val="clear" w:color="auto" w:fill="auto"/>
            <w:noWrap/>
            <w:vAlign w:val="center"/>
            <w:hideMark/>
          </w:tcPr>
          <w:p w:rsidR="001E5771" w:rsidRPr="00174008" w:rsidRDefault="001E5771" w:rsidP="001E5771">
            <w:pPr>
              <w:widowControl/>
              <w:jc w:val="center"/>
              <w:rPr>
                <w:rFonts w:asciiTheme="majorEastAsia" w:eastAsiaTheme="majorEastAsia" w:hAnsiTheme="majorEastAsia" w:cs="Arial"/>
                <w:kern w:val="0"/>
                <w:sz w:val="20"/>
                <w:szCs w:val="20"/>
              </w:rPr>
            </w:pPr>
            <w:r w:rsidRPr="00174008">
              <w:rPr>
                <w:rFonts w:asciiTheme="majorEastAsia" w:eastAsiaTheme="majorEastAsia" w:hAnsiTheme="majorEastAsia" w:cs="Arial" w:hint="eastAsia"/>
                <w:kern w:val="0"/>
                <w:sz w:val="20"/>
                <w:szCs w:val="20"/>
              </w:rPr>
              <w:t>同比（件）</w:t>
            </w:r>
          </w:p>
        </w:tc>
        <w:tc>
          <w:tcPr>
            <w:tcW w:w="1859" w:type="dxa"/>
            <w:tcBorders>
              <w:top w:val="single" w:sz="4" w:space="0" w:color="auto"/>
              <w:left w:val="single" w:sz="4" w:space="0" w:color="auto"/>
              <w:bottom w:val="nil"/>
              <w:right w:val="single" w:sz="4" w:space="0" w:color="auto"/>
            </w:tcBorders>
            <w:shd w:val="clear" w:color="auto" w:fill="auto"/>
            <w:noWrap/>
            <w:vAlign w:val="center"/>
            <w:hideMark/>
          </w:tcPr>
          <w:p w:rsidR="001E5771" w:rsidRPr="00174008" w:rsidRDefault="001E5771" w:rsidP="001E5771">
            <w:pPr>
              <w:widowControl/>
              <w:jc w:val="center"/>
              <w:rPr>
                <w:rFonts w:asciiTheme="majorEastAsia" w:eastAsiaTheme="majorEastAsia" w:hAnsiTheme="majorEastAsia" w:cs="Arial"/>
                <w:kern w:val="0"/>
                <w:sz w:val="20"/>
                <w:szCs w:val="20"/>
              </w:rPr>
            </w:pPr>
            <w:r w:rsidRPr="00174008">
              <w:rPr>
                <w:rFonts w:asciiTheme="majorEastAsia" w:eastAsiaTheme="majorEastAsia" w:hAnsiTheme="majorEastAsia" w:cs="Arial" w:hint="eastAsia"/>
                <w:kern w:val="0"/>
                <w:sz w:val="20"/>
                <w:szCs w:val="20"/>
              </w:rPr>
              <w:t>同比（%）</w:t>
            </w:r>
          </w:p>
        </w:tc>
      </w:tr>
      <w:tr w:rsidR="001E5771" w:rsidRPr="00174008" w:rsidTr="003A509D">
        <w:trPr>
          <w:trHeight w:val="240"/>
        </w:trPr>
        <w:tc>
          <w:tcPr>
            <w:tcW w:w="17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5771" w:rsidRPr="00174008" w:rsidRDefault="001E5771" w:rsidP="001E5771">
            <w:pPr>
              <w:widowControl/>
              <w:jc w:val="center"/>
              <w:rPr>
                <w:rFonts w:asciiTheme="majorEastAsia" w:eastAsiaTheme="majorEastAsia" w:hAnsiTheme="majorEastAsia" w:cs="Arial"/>
                <w:kern w:val="0"/>
                <w:sz w:val="20"/>
                <w:szCs w:val="20"/>
              </w:rPr>
            </w:pPr>
            <w:r w:rsidRPr="00174008">
              <w:rPr>
                <w:rFonts w:asciiTheme="majorEastAsia" w:eastAsiaTheme="majorEastAsia" w:hAnsiTheme="majorEastAsia" w:cs="Arial" w:hint="eastAsia"/>
                <w:kern w:val="0"/>
                <w:sz w:val="20"/>
                <w:szCs w:val="20"/>
              </w:rPr>
              <w:t>刑事案件</w:t>
            </w:r>
          </w:p>
        </w:tc>
        <w:tc>
          <w:tcPr>
            <w:tcW w:w="1775" w:type="dxa"/>
            <w:tcBorders>
              <w:top w:val="single" w:sz="4" w:space="0" w:color="auto"/>
              <w:left w:val="nil"/>
              <w:bottom w:val="single" w:sz="4" w:space="0" w:color="auto"/>
              <w:right w:val="single" w:sz="4" w:space="0" w:color="auto"/>
            </w:tcBorders>
            <w:shd w:val="clear" w:color="auto" w:fill="auto"/>
            <w:noWrap/>
            <w:vAlign w:val="center"/>
            <w:hideMark/>
          </w:tcPr>
          <w:p w:rsidR="001E5771" w:rsidRPr="00174008" w:rsidRDefault="001E5771" w:rsidP="001E5771">
            <w:pPr>
              <w:widowControl/>
              <w:jc w:val="center"/>
              <w:rPr>
                <w:rFonts w:asciiTheme="majorEastAsia" w:eastAsiaTheme="majorEastAsia" w:hAnsiTheme="majorEastAsia" w:cs="Arial"/>
                <w:kern w:val="0"/>
                <w:sz w:val="20"/>
                <w:szCs w:val="20"/>
              </w:rPr>
            </w:pPr>
            <w:r w:rsidRPr="00174008">
              <w:rPr>
                <w:rFonts w:asciiTheme="majorEastAsia" w:eastAsiaTheme="majorEastAsia" w:hAnsiTheme="majorEastAsia" w:cs="Arial"/>
                <w:kern w:val="0"/>
                <w:sz w:val="20"/>
                <w:szCs w:val="20"/>
              </w:rPr>
              <w:t>63</w:t>
            </w:r>
          </w:p>
        </w:tc>
        <w:tc>
          <w:tcPr>
            <w:tcW w:w="1775" w:type="dxa"/>
            <w:tcBorders>
              <w:top w:val="single" w:sz="4" w:space="0" w:color="auto"/>
              <w:left w:val="nil"/>
              <w:bottom w:val="single" w:sz="4" w:space="0" w:color="auto"/>
              <w:right w:val="single" w:sz="4" w:space="0" w:color="auto"/>
            </w:tcBorders>
            <w:shd w:val="clear" w:color="auto" w:fill="auto"/>
            <w:noWrap/>
            <w:vAlign w:val="center"/>
            <w:hideMark/>
          </w:tcPr>
          <w:p w:rsidR="001E5771" w:rsidRPr="00174008" w:rsidRDefault="001E5771" w:rsidP="001E5771">
            <w:pPr>
              <w:widowControl/>
              <w:jc w:val="center"/>
              <w:rPr>
                <w:rFonts w:asciiTheme="majorEastAsia" w:eastAsiaTheme="majorEastAsia" w:hAnsiTheme="majorEastAsia" w:cs="Arial"/>
                <w:kern w:val="0"/>
                <w:sz w:val="20"/>
                <w:szCs w:val="20"/>
              </w:rPr>
            </w:pPr>
            <w:r w:rsidRPr="00174008">
              <w:rPr>
                <w:rFonts w:asciiTheme="majorEastAsia" w:eastAsiaTheme="majorEastAsia" w:hAnsiTheme="majorEastAsia" w:cs="Arial"/>
                <w:kern w:val="0"/>
                <w:sz w:val="20"/>
                <w:szCs w:val="20"/>
              </w:rPr>
              <w:t>77</w:t>
            </w:r>
          </w:p>
        </w:tc>
        <w:tc>
          <w:tcPr>
            <w:tcW w:w="1775" w:type="dxa"/>
            <w:tcBorders>
              <w:top w:val="single" w:sz="4" w:space="0" w:color="auto"/>
              <w:left w:val="nil"/>
              <w:bottom w:val="single" w:sz="4" w:space="0" w:color="auto"/>
              <w:right w:val="single" w:sz="4" w:space="0" w:color="auto"/>
            </w:tcBorders>
            <w:shd w:val="clear" w:color="auto" w:fill="auto"/>
            <w:noWrap/>
            <w:vAlign w:val="center"/>
            <w:hideMark/>
          </w:tcPr>
          <w:p w:rsidR="001E5771" w:rsidRPr="00174008" w:rsidRDefault="001E5771" w:rsidP="001E5771">
            <w:pPr>
              <w:widowControl/>
              <w:jc w:val="center"/>
              <w:rPr>
                <w:rFonts w:asciiTheme="majorEastAsia" w:eastAsiaTheme="majorEastAsia" w:hAnsiTheme="majorEastAsia" w:cs="Arial"/>
                <w:kern w:val="0"/>
                <w:sz w:val="20"/>
                <w:szCs w:val="20"/>
              </w:rPr>
            </w:pPr>
            <w:r w:rsidRPr="00174008">
              <w:rPr>
                <w:rFonts w:asciiTheme="majorEastAsia" w:eastAsiaTheme="majorEastAsia" w:hAnsiTheme="majorEastAsia" w:cs="Arial"/>
                <w:kern w:val="0"/>
                <w:sz w:val="20"/>
                <w:szCs w:val="20"/>
              </w:rPr>
              <w:t>-14</w:t>
            </w:r>
          </w:p>
        </w:tc>
        <w:tc>
          <w:tcPr>
            <w:tcW w:w="1859" w:type="dxa"/>
            <w:tcBorders>
              <w:top w:val="single" w:sz="4" w:space="0" w:color="auto"/>
              <w:left w:val="nil"/>
              <w:bottom w:val="single" w:sz="4" w:space="0" w:color="auto"/>
              <w:right w:val="single" w:sz="4" w:space="0" w:color="auto"/>
            </w:tcBorders>
            <w:shd w:val="clear" w:color="auto" w:fill="auto"/>
            <w:noWrap/>
            <w:vAlign w:val="center"/>
            <w:hideMark/>
          </w:tcPr>
          <w:p w:rsidR="001E5771" w:rsidRPr="00174008" w:rsidRDefault="001E5771" w:rsidP="001E5771">
            <w:pPr>
              <w:widowControl/>
              <w:jc w:val="center"/>
              <w:rPr>
                <w:rFonts w:asciiTheme="majorEastAsia" w:eastAsiaTheme="majorEastAsia" w:hAnsiTheme="majorEastAsia" w:cs="Arial"/>
                <w:kern w:val="0"/>
                <w:sz w:val="20"/>
                <w:szCs w:val="20"/>
              </w:rPr>
            </w:pPr>
            <w:r w:rsidRPr="00174008">
              <w:rPr>
                <w:rFonts w:asciiTheme="majorEastAsia" w:eastAsiaTheme="majorEastAsia" w:hAnsiTheme="majorEastAsia" w:cs="Arial"/>
                <w:kern w:val="0"/>
                <w:sz w:val="20"/>
                <w:szCs w:val="20"/>
              </w:rPr>
              <w:t>-18.18%</w:t>
            </w:r>
          </w:p>
        </w:tc>
      </w:tr>
      <w:tr w:rsidR="001E5771" w:rsidRPr="00174008" w:rsidTr="003A509D">
        <w:trPr>
          <w:trHeight w:val="240"/>
        </w:trPr>
        <w:tc>
          <w:tcPr>
            <w:tcW w:w="1775" w:type="dxa"/>
            <w:tcBorders>
              <w:top w:val="nil"/>
              <w:left w:val="single" w:sz="4" w:space="0" w:color="auto"/>
              <w:bottom w:val="single" w:sz="4" w:space="0" w:color="auto"/>
              <w:right w:val="single" w:sz="4" w:space="0" w:color="auto"/>
            </w:tcBorders>
            <w:shd w:val="clear" w:color="auto" w:fill="auto"/>
            <w:noWrap/>
            <w:vAlign w:val="center"/>
            <w:hideMark/>
          </w:tcPr>
          <w:p w:rsidR="001E5771" w:rsidRPr="00174008" w:rsidRDefault="001E5771" w:rsidP="001E5771">
            <w:pPr>
              <w:widowControl/>
              <w:jc w:val="center"/>
              <w:rPr>
                <w:rFonts w:asciiTheme="majorEastAsia" w:eastAsiaTheme="majorEastAsia" w:hAnsiTheme="majorEastAsia" w:cs="Arial"/>
                <w:kern w:val="0"/>
                <w:sz w:val="20"/>
                <w:szCs w:val="20"/>
              </w:rPr>
            </w:pPr>
            <w:r w:rsidRPr="00174008">
              <w:rPr>
                <w:rFonts w:asciiTheme="majorEastAsia" w:eastAsiaTheme="majorEastAsia" w:hAnsiTheme="majorEastAsia" w:cs="Arial" w:hint="eastAsia"/>
                <w:kern w:val="0"/>
                <w:sz w:val="20"/>
                <w:szCs w:val="20"/>
              </w:rPr>
              <w:t>刑罚变更案件</w:t>
            </w:r>
          </w:p>
        </w:tc>
        <w:tc>
          <w:tcPr>
            <w:tcW w:w="1775" w:type="dxa"/>
            <w:tcBorders>
              <w:top w:val="nil"/>
              <w:left w:val="nil"/>
              <w:bottom w:val="single" w:sz="4" w:space="0" w:color="auto"/>
              <w:right w:val="single" w:sz="4" w:space="0" w:color="auto"/>
            </w:tcBorders>
            <w:shd w:val="clear" w:color="auto" w:fill="auto"/>
            <w:noWrap/>
            <w:vAlign w:val="center"/>
            <w:hideMark/>
          </w:tcPr>
          <w:p w:rsidR="001E5771" w:rsidRPr="00174008" w:rsidRDefault="001E5771" w:rsidP="001E5771">
            <w:pPr>
              <w:widowControl/>
              <w:jc w:val="center"/>
              <w:rPr>
                <w:rFonts w:asciiTheme="majorEastAsia" w:eastAsiaTheme="majorEastAsia" w:hAnsiTheme="majorEastAsia" w:cs="Arial"/>
                <w:kern w:val="0"/>
                <w:sz w:val="20"/>
                <w:szCs w:val="20"/>
              </w:rPr>
            </w:pPr>
            <w:r w:rsidRPr="00174008">
              <w:rPr>
                <w:rFonts w:asciiTheme="majorEastAsia" w:eastAsiaTheme="majorEastAsia" w:hAnsiTheme="majorEastAsia" w:cs="Arial"/>
                <w:kern w:val="0"/>
                <w:sz w:val="20"/>
                <w:szCs w:val="20"/>
              </w:rPr>
              <w:t>3</w:t>
            </w:r>
          </w:p>
        </w:tc>
        <w:tc>
          <w:tcPr>
            <w:tcW w:w="1775" w:type="dxa"/>
            <w:tcBorders>
              <w:top w:val="nil"/>
              <w:left w:val="nil"/>
              <w:bottom w:val="single" w:sz="4" w:space="0" w:color="auto"/>
              <w:right w:val="single" w:sz="4" w:space="0" w:color="auto"/>
            </w:tcBorders>
            <w:shd w:val="clear" w:color="auto" w:fill="auto"/>
            <w:noWrap/>
            <w:vAlign w:val="center"/>
            <w:hideMark/>
          </w:tcPr>
          <w:p w:rsidR="001E5771" w:rsidRPr="00174008" w:rsidRDefault="001E5771" w:rsidP="001E5771">
            <w:pPr>
              <w:widowControl/>
              <w:jc w:val="center"/>
              <w:rPr>
                <w:rFonts w:asciiTheme="majorEastAsia" w:eastAsiaTheme="majorEastAsia" w:hAnsiTheme="majorEastAsia" w:cs="Arial"/>
                <w:kern w:val="0"/>
                <w:sz w:val="20"/>
                <w:szCs w:val="20"/>
              </w:rPr>
            </w:pPr>
            <w:r w:rsidRPr="00174008">
              <w:rPr>
                <w:rFonts w:asciiTheme="majorEastAsia" w:eastAsiaTheme="majorEastAsia" w:hAnsiTheme="majorEastAsia" w:cs="Arial"/>
                <w:kern w:val="0"/>
                <w:sz w:val="20"/>
                <w:szCs w:val="20"/>
              </w:rPr>
              <w:t>3</w:t>
            </w:r>
          </w:p>
        </w:tc>
        <w:tc>
          <w:tcPr>
            <w:tcW w:w="1775" w:type="dxa"/>
            <w:tcBorders>
              <w:top w:val="nil"/>
              <w:left w:val="nil"/>
              <w:bottom w:val="single" w:sz="4" w:space="0" w:color="auto"/>
              <w:right w:val="single" w:sz="4" w:space="0" w:color="auto"/>
            </w:tcBorders>
            <w:shd w:val="clear" w:color="auto" w:fill="auto"/>
            <w:noWrap/>
            <w:vAlign w:val="center"/>
            <w:hideMark/>
          </w:tcPr>
          <w:p w:rsidR="001E5771" w:rsidRPr="00174008" w:rsidRDefault="001E5771" w:rsidP="001E5771">
            <w:pPr>
              <w:widowControl/>
              <w:jc w:val="center"/>
              <w:rPr>
                <w:rFonts w:asciiTheme="majorEastAsia" w:eastAsiaTheme="majorEastAsia" w:hAnsiTheme="majorEastAsia" w:cs="Arial"/>
                <w:kern w:val="0"/>
                <w:sz w:val="20"/>
                <w:szCs w:val="20"/>
              </w:rPr>
            </w:pPr>
            <w:r w:rsidRPr="00174008">
              <w:rPr>
                <w:rFonts w:asciiTheme="majorEastAsia" w:eastAsiaTheme="majorEastAsia" w:hAnsiTheme="majorEastAsia" w:cs="Arial"/>
                <w:kern w:val="0"/>
                <w:sz w:val="20"/>
                <w:szCs w:val="20"/>
              </w:rPr>
              <w:t>0</w:t>
            </w:r>
          </w:p>
        </w:tc>
        <w:tc>
          <w:tcPr>
            <w:tcW w:w="1859" w:type="dxa"/>
            <w:tcBorders>
              <w:top w:val="nil"/>
              <w:left w:val="nil"/>
              <w:bottom w:val="single" w:sz="4" w:space="0" w:color="auto"/>
              <w:right w:val="single" w:sz="4" w:space="0" w:color="auto"/>
            </w:tcBorders>
            <w:shd w:val="clear" w:color="auto" w:fill="auto"/>
            <w:noWrap/>
            <w:vAlign w:val="center"/>
            <w:hideMark/>
          </w:tcPr>
          <w:p w:rsidR="001E5771" w:rsidRPr="00174008" w:rsidRDefault="001E5771" w:rsidP="001E5771">
            <w:pPr>
              <w:widowControl/>
              <w:jc w:val="center"/>
              <w:rPr>
                <w:rFonts w:asciiTheme="majorEastAsia" w:eastAsiaTheme="majorEastAsia" w:hAnsiTheme="majorEastAsia" w:cs="Arial"/>
                <w:kern w:val="0"/>
                <w:sz w:val="20"/>
                <w:szCs w:val="20"/>
              </w:rPr>
            </w:pPr>
            <w:r w:rsidRPr="00174008">
              <w:rPr>
                <w:rFonts w:asciiTheme="majorEastAsia" w:eastAsiaTheme="majorEastAsia" w:hAnsiTheme="majorEastAsia" w:cs="Arial"/>
                <w:kern w:val="0"/>
                <w:sz w:val="20"/>
                <w:szCs w:val="20"/>
              </w:rPr>
              <w:t>0.00%</w:t>
            </w:r>
          </w:p>
        </w:tc>
      </w:tr>
      <w:tr w:rsidR="001E5771" w:rsidRPr="00174008" w:rsidTr="003A509D">
        <w:trPr>
          <w:trHeight w:val="240"/>
        </w:trPr>
        <w:tc>
          <w:tcPr>
            <w:tcW w:w="1775" w:type="dxa"/>
            <w:tcBorders>
              <w:top w:val="nil"/>
              <w:left w:val="single" w:sz="4" w:space="0" w:color="auto"/>
              <w:bottom w:val="single" w:sz="4" w:space="0" w:color="auto"/>
              <w:right w:val="single" w:sz="4" w:space="0" w:color="auto"/>
            </w:tcBorders>
            <w:shd w:val="clear" w:color="auto" w:fill="auto"/>
            <w:noWrap/>
            <w:vAlign w:val="center"/>
            <w:hideMark/>
          </w:tcPr>
          <w:p w:rsidR="001E5771" w:rsidRPr="00174008" w:rsidRDefault="001E5771" w:rsidP="001E5771">
            <w:pPr>
              <w:widowControl/>
              <w:jc w:val="center"/>
              <w:rPr>
                <w:rFonts w:asciiTheme="majorEastAsia" w:eastAsiaTheme="majorEastAsia" w:hAnsiTheme="majorEastAsia" w:cs="Arial"/>
                <w:kern w:val="0"/>
                <w:sz w:val="20"/>
                <w:szCs w:val="20"/>
              </w:rPr>
            </w:pPr>
            <w:r w:rsidRPr="00174008">
              <w:rPr>
                <w:rFonts w:asciiTheme="majorEastAsia" w:eastAsiaTheme="majorEastAsia" w:hAnsiTheme="majorEastAsia" w:cs="Arial" w:hint="eastAsia"/>
                <w:kern w:val="0"/>
                <w:sz w:val="20"/>
                <w:szCs w:val="20"/>
              </w:rPr>
              <w:t>民事案件</w:t>
            </w:r>
          </w:p>
        </w:tc>
        <w:tc>
          <w:tcPr>
            <w:tcW w:w="1775" w:type="dxa"/>
            <w:tcBorders>
              <w:top w:val="nil"/>
              <w:left w:val="nil"/>
              <w:bottom w:val="single" w:sz="4" w:space="0" w:color="auto"/>
              <w:right w:val="single" w:sz="4" w:space="0" w:color="auto"/>
            </w:tcBorders>
            <w:shd w:val="clear" w:color="auto" w:fill="auto"/>
            <w:noWrap/>
            <w:vAlign w:val="center"/>
            <w:hideMark/>
          </w:tcPr>
          <w:p w:rsidR="001E5771" w:rsidRPr="00174008" w:rsidRDefault="001E5771" w:rsidP="001E5771">
            <w:pPr>
              <w:widowControl/>
              <w:jc w:val="center"/>
              <w:rPr>
                <w:rFonts w:asciiTheme="majorEastAsia" w:eastAsiaTheme="majorEastAsia" w:hAnsiTheme="majorEastAsia" w:cs="Arial"/>
                <w:kern w:val="0"/>
                <w:sz w:val="20"/>
                <w:szCs w:val="20"/>
              </w:rPr>
            </w:pPr>
            <w:r w:rsidRPr="00174008">
              <w:rPr>
                <w:rFonts w:asciiTheme="majorEastAsia" w:eastAsiaTheme="majorEastAsia" w:hAnsiTheme="majorEastAsia" w:cs="Arial"/>
                <w:kern w:val="0"/>
                <w:sz w:val="20"/>
                <w:szCs w:val="20"/>
              </w:rPr>
              <w:t>735</w:t>
            </w:r>
          </w:p>
        </w:tc>
        <w:tc>
          <w:tcPr>
            <w:tcW w:w="1775" w:type="dxa"/>
            <w:tcBorders>
              <w:top w:val="nil"/>
              <w:left w:val="nil"/>
              <w:bottom w:val="single" w:sz="4" w:space="0" w:color="auto"/>
              <w:right w:val="single" w:sz="4" w:space="0" w:color="auto"/>
            </w:tcBorders>
            <w:shd w:val="clear" w:color="auto" w:fill="auto"/>
            <w:noWrap/>
            <w:vAlign w:val="center"/>
            <w:hideMark/>
          </w:tcPr>
          <w:p w:rsidR="001E5771" w:rsidRPr="00174008" w:rsidRDefault="001E5771" w:rsidP="001E5771">
            <w:pPr>
              <w:widowControl/>
              <w:jc w:val="center"/>
              <w:rPr>
                <w:rFonts w:asciiTheme="majorEastAsia" w:eastAsiaTheme="majorEastAsia" w:hAnsiTheme="majorEastAsia" w:cs="Arial"/>
                <w:kern w:val="0"/>
                <w:sz w:val="20"/>
                <w:szCs w:val="20"/>
              </w:rPr>
            </w:pPr>
            <w:r w:rsidRPr="00174008">
              <w:rPr>
                <w:rFonts w:asciiTheme="majorEastAsia" w:eastAsiaTheme="majorEastAsia" w:hAnsiTheme="majorEastAsia" w:cs="Arial"/>
                <w:kern w:val="0"/>
                <w:sz w:val="20"/>
                <w:szCs w:val="20"/>
              </w:rPr>
              <w:t>536</w:t>
            </w:r>
          </w:p>
        </w:tc>
        <w:tc>
          <w:tcPr>
            <w:tcW w:w="1775" w:type="dxa"/>
            <w:tcBorders>
              <w:top w:val="nil"/>
              <w:left w:val="nil"/>
              <w:bottom w:val="single" w:sz="4" w:space="0" w:color="auto"/>
              <w:right w:val="single" w:sz="4" w:space="0" w:color="auto"/>
            </w:tcBorders>
            <w:shd w:val="clear" w:color="auto" w:fill="auto"/>
            <w:noWrap/>
            <w:vAlign w:val="center"/>
            <w:hideMark/>
          </w:tcPr>
          <w:p w:rsidR="001E5771" w:rsidRPr="00174008" w:rsidRDefault="001E5771" w:rsidP="001E5771">
            <w:pPr>
              <w:widowControl/>
              <w:jc w:val="center"/>
              <w:rPr>
                <w:rFonts w:asciiTheme="majorEastAsia" w:eastAsiaTheme="majorEastAsia" w:hAnsiTheme="majorEastAsia" w:cs="Arial"/>
                <w:kern w:val="0"/>
                <w:sz w:val="20"/>
                <w:szCs w:val="20"/>
              </w:rPr>
            </w:pPr>
            <w:r w:rsidRPr="00174008">
              <w:rPr>
                <w:rFonts w:asciiTheme="majorEastAsia" w:eastAsiaTheme="majorEastAsia" w:hAnsiTheme="majorEastAsia" w:cs="Arial"/>
                <w:kern w:val="0"/>
                <w:sz w:val="20"/>
                <w:szCs w:val="20"/>
              </w:rPr>
              <w:t>199</w:t>
            </w:r>
          </w:p>
        </w:tc>
        <w:tc>
          <w:tcPr>
            <w:tcW w:w="1859" w:type="dxa"/>
            <w:tcBorders>
              <w:top w:val="nil"/>
              <w:left w:val="nil"/>
              <w:bottom w:val="single" w:sz="4" w:space="0" w:color="auto"/>
              <w:right w:val="single" w:sz="4" w:space="0" w:color="auto"/>
            </w:tcBorders>
            <w:shd w:val="clear" w:color="auto" w:fill="auto"/>
            <w:noWrap/>
            <w:vAlign w:val="center"/>
            <w:hideMark/>
          </w:tcPr>
          <w:p w:rsidR="001E5771" w:rsidRPr="00174008" w:rsidRDefault="001E5771" w:rsidP="001E5771">
            <w:pPr>
              <w:widowControl/>
              <w:jc w:val="center"/>
              <w:rPr>
                <w:rFonts w:asciiTheme="majorEastAsia" w:eastAsiaTheme="majorEastAsia" w:hAnsiTheme="majorEastAsia" w:cs="Arial"/>
                <w:kern w:val="0"/>
                <w:sz w:val="20"/>
                <w:szCs w:val="20"/>
              </w:rPr>
            </w:pPr>
            <w:r w:rsidRPr="00174008">
              <w:rPr>
                <w:rFonts w:asciiTheme="majorEastAsia" w:eastAsiaTheme="majorEastAsia" w:hAnsiTheme="majorEastAsia" w:cs="Arial"/>
                <w:kern w:val="0"/>
                <w:sz w:val="20"/>
                <w:szCs w:val="20"/>
              </w:rPr>
              <w:t>37.13%</w:t>
            </w:r>
          </w:p>
        </w:tc>
      </w:tr>
      <w:tr w:rsidR="001E5771" w:rsidRPr="00174008" w:rsidTr="003A509D">
        <w:trPr>
          <w:trHeight w:val="240"/>
        </w:trPr>
        <w:tc>
          <w:tcPr>
            <w:tcW w:w="1775" w:type="dxa"/>
            <w:tcBorders>
              <w:top w:val="nil"/>
              <w:left w:val="single" w:sz="4" w:space="0" w:color="auto"/>
              <w:bottom w:val="single" w:sz="4" w:space="0" w:color="auto"/>
              <w:right w:val="single" w:sz="4" w:space="0" w:color="auto"/>
            </w:tcBorders>
            <w:shd w:val="clear" w:color="auto" w:fill="auto"/>
            <w:noWrap/>
            <w:vAlign w:val="center"/>
            <w:hideMark/>
          </w:tcPr>
          <w:p w:rsidR="001E5771" w:rsidRPr="00174008" w:rsidRDefault="001E5771" w:rsidP="001E5771">
            <w:pPr>
              <w:widowControl/>
              <w:jc w:val="center"/>
              <w:rPr>
                <w:rFonts w:asciiTheme="majorEastAsia" w:eastAsiaTheme="majorEastAsia" w:hAnsiTheme="majorEastAsia" w:cs="Arial"/>
                <w:kern w:val="0"/>
                <w:sz w:val="20"/>
                <w:szCs w:val="20"/>
              </w:rPr>
            </w:pPr>
            <w:r w:rsidRPr="00174008">
              <w:rPr>
                <w:rFonts w:asciiTheme="majorEastAsia" w:eastAsiaTheme="majorEastAsia" w:hAnsiTheme="majorEastAsia" w:cs="Arial" w:hint="eastAsia"/>
                <w:kern w:val="0"/>
                <w:sz w:val="20"/>
                <w:szCs w:val="20"/>
              </w:rPr>
              <w:t>行政案件</w:t>
            </w:r>
          </w:p>
        </w:tc>
        <w:tc>
          <w:tcPr>
            <w:tcW w:w="1775" w:type="dxa"/>
            <w:tcBorders>
              <w:top w:val="nil"/>
              <w:left w:val="nil"/>
              <w:bottom w:val="single" w:sz="4" w:space="0" w:color="auto"/>
              <w:right w:val="single" w:sz="4" w:space="0" w:color="auto"/>
            </w:tcBorders>
            <w:shd w:val="clear" w:color="auto" w:fill="auto"/>
            <w:noWrap/>
            <w:vAlign w:val="center"/>
            <w:hideMark/>
          </w:tcPr>
          <w:p w:rsidR="001E5771" w:rsidRPr="00174008" w:rsidRDefault="001E5771" w:rsidP="001E5771">
            <w:pPr>
              <w:widowControl/>
              <w:jc w:val="center"/>
              <w:rPr>
                <w:rFonts w:asciiTheme="majorEastAsia" w:eastAsiaTheme="majorEastAsia" w:hAnsiTheme="majorEastAsia" w:cs="Arial"/>
                <w:kern w:val="0"/>
                <w:sz w:val="20"/>
                <w:szCs w:val="20"/>
              </w:rPr>
            </w:pPr>
            <w:r w:rsidRPr="00174008">
              <w:rPr>
                <w:rFonts w:asciiTheme="majorEastAsia" w:eastAsiaTheme="majorEastAsia" w:hAnsiTheme="majorEastAsia" w:cs="Arial"/>
                <w:kern w:val="0"/>
                <w:sz w:val="20"/>
                <w:szCs w:val="20"/>
              </w:rPr>
              <w:t>25</w:t>
            </w:r>
          </w:p>
        </w:tc>
        <w:tc>
          <w:tcPr>
            <w:tcW w:w="1775" w:type="dxa"/>
            <w:tcBorders>
              <w:top w:val="nil"/>
              <w:left w:val="nil"/>
              <w:bottom w:val="single" w:sz="4" w:space="0" w:color="auto"/>
              <w:right w:val="single" w:sz="4" w:space="0" w:color="auto"/>
            </w:tcBorders>
            <w:shd w:val="clear" w:color="auto" w:fill="auto"/>
            <w:noWrap/>
            <w:vAlign w:val="center"/>
            <w:hideMark/>
          </w:tcPr>
          <w:p w:rsidR="001E5771" w:rsidRPr="00174008" w:rsidRDefault="001E5771" w:rsidP="001E5771">
            <w:pPr>
              <w:widowControl/>
              <w:jc w:val="center"/>
              <w:rPr>
                <w:rFonts w:asciiTheme="majorEastAsia" w:eastAsiaTheme="majorEastAsia" w:hAnsiTheme="majorEastAsia" w:cs="Arial"/>
                <w:kern w:val="0"/>
                <w:sz w:val="20"/>
                <w:szCs w:val="20"/>
              </w:rPr>
            </w:pPr>
            <w:r w:rsidRPr="00174008">
              <w:rPr>
                <w:rFonts w:asciiTheme="majorEastAsia" w:eastAsiaTheme="majorEastAsia" w:hAnsiTheme="majorEastAsia" w:cs="Arial"/>
                <w:kern w:val="0"/>
                <w:sz w:val="20"/>
                <w:szCs w:val="20"/>
              </w:rPr>
              <w:t>19</w:t>
            </w:r>
          </w:p>
        </w:tc>
        <w:tc>
          <w:tcPr>
            <w:tcW w:w="1775" w:type="dxa"/>
            <w:tcBorders>
              <w:top w:val="nil"/>
              <w:left w:val="nil"/>
              <w:bottom w:val="single" w:sz="4" w:space="0" w:color="auto"/>
              <w:right w:val="single" w:sz="4" w:space="0" w:color="auto"/>
            </w:tcBorders>
            <w:shd w:val="clear" w:color="auto" w:fill="auto"/>
            <w:noWrap/>
            <w:vAlign w:val="center"/>
            <w:hideMark/>
          </w:tcPr>
          <w:p w:rsidR="001E5771" w:rsidRPr="00174008" w:rsidRDefault="001E5771" w:rsidP="001E5771">
            <w:pPr>
              <w:widowControl/>
              <w:jc w:val="center"/>
              <w:rPr>
                <w:rFonts w:asciiTheme="majorEastAsia" w:eastAsiaTheme="majorEastAsia" w:hAnsiTheme="majorEastAsia" w:cs="Arial"/>
                <w:kern w:val="0"/>
                <w:sz w:val="20"/>
                <w:szCs w:val="20"/>
              </w:rPr>
            </w:pPr>
            <w:r w:rsidRPr="00174008">
              <w:rPr>
                <w:rFonts w:asciiTheme="majorEastAsia" w:eastAsiaTheme="majorEastAsia" w:hAnsiTheme="majorEastAsia" w:cs="Arial"/>
                <w:kern w:val="0"/>
                <w:sz w:val="20"/>
                <w:szCs w:val="20"/>
              </w:rPr>
              <w:t>6</w:t>
            </w:r>
          </w:p>
        </w:tc>
        <w:tc>
          <w:tcPr>
            <w:tcW w:w="1859" w:type="dxa"/>
            <w:tcBorders>
              <w:top w:val="nil"/>
              <w:left w:val="nil"/>
              <w:bottom w:val="single" w:sz="4" w:space="0" w:color="auto"/>
              <w:right w:val="single" w:sz="4" w:space="0" w:color="auto"/>
            </w:tcBorders>
            <w:shd w:val="clear" w:color="auto" w:fill="auto"/>
            <w:noWrap/>
            <w:vAlign w:val="center"/>
            <w:hideMark/>
          </w:tcPr>
          <w:p w:rsidR="001E5771" w:rsidRPr="00174008" w:rsidRDefault="001E5771" w:rsidP="001E5771">
            <w:pPr>
              <w:widowControl/>
              <w:jc w:val="center"/>
              <w:rPr>
                <w:rFonts w:asciiTheme="majorEastAsia" w:eastAsiaTheme="majorEastAsia" w:hAnsiTheme="majorEastAsia" w:cs="Arial"/>
                <w:kern w:val="0"/>
                <w:sz w:val="20"/>
                <w:szCs w:val="20"/>
              </w:rPr>
            </w:pPr>
            <w:r w:rsidRPr="00174008">
              <w:rPr>
                <w:rFonts w:asciiTheme="majorEastAsia" w:eastAsiaTheme="majorEastAsia" w:hAnsiTheme="majorEastAsia" w:cs="Arial"/>
                <w:kern w:val="0"/>
                <w:sz w:val="20"/>
                <w:szCs w:val="20"/>
              </w:rPr>
              <w:t>31.58%</w:t>
            </w:r>
          </w:p>
        </w:tc>
      </w:tr>
      <w:tr w:rsidR="001E5771" w:rsidRPr="00174008" w:rsidTr="003A509D">
        <w:trPr>
          <w:trHeight w:val="240"/>
        </w:trPr>
        <w:tc>
          <w:tcPr>
            <w:tcW w:w="1775" w:type="dxa"/>
            <w:tcBorders>
              <w:top w:val="nil"/>
              <w:left w:val="single" w:sz="4" w:space="0" w:color="auto"/>
              <w:bottom w:val="single" w:sz="4" w:space="0" w:color="auto"/>
              <w:right w:val="single" w:sz="4" w:space="0" w:color="auto"/>
            </w:tcBorders>
            <w:shd w:val="clear" w:color="auto" w:fill="auto"/>
            <w:noWrap/>
            <w:vAlign w:val="center"/>
            <w:hideMark/>
          </w:tcPr>
          <w:p w:rsidR="001E5771" w:rsidRPr="00174008" w:rsidRDefault="001E5771" w:rsidP="001E5771">
            <w:pPr>
              <w:widowControl/>
              <w:jc w:val="center"/>
              <w:rPr>
                <w:rFonts w:asciiTheme="majorEastAsia" w:eastAsiaTheme="majorEastAsia" w:hAnsiTheme="majorEastAsia" w:cs="Arial"/>
                <w:kern w:val="0"/>
                <w:sz w:val="20"/>
                <w:szCs w:val="20"/>
              </w:rPr>
            </w:pPr>
            <w:r w:rsidRPr="00174008">
              <w:rPr>
                <w:rFonts w:asciiTheme="majorEastAsia" w:eastAsiaTheme="majorEastAsia" w:hAnsiTheme="majorEastAsia" w:cs="Arial" w:hint="eastAsia"/>
                <w:kern w:val="0"/>
                <w:sz w:val="20"/>
                <w:szCs w:val="20"/>
              </w:rPr>
              <w:t>赔偿案件</w:t>
            </w:r>
          </w:p>
        </w:tc>
        <w:tc>
          <w:tcPr>
            <w:tcW w:w="1775" w:type="dxa"/>
            <w:tcBorders>
              <w:top w:val="nil"/>
              <w:left w:val="nil"/>
              <w:bottom w:val="single" w:sz="4" w:space="0" w:color="auto"/>
              <w:right w:val="single" w:sz="4" w:space="0" w:color="auto"/>
            </w:tcBorders>
            <w:shd w:val="clear" w:color="auto" w:fill="auto"/>
            <w:noWrap/>
            <w:vAlign w:val="center"/>
            <w:hideMark/>
          </w:tcPr>
          <w:p w:rsidR="001E5771" w:rsidRPr="00174008" w:rsidRDefault="001E5771" w:rsidP="001E5771">
            <w:pPr>
              <w:widowControl/>
              <w:jc w:val="center"/>
              <w:rPr>
                <w:rFonts w:asciiTheme="majorEastAsia" w:eastAsiaTheme="majorEastAsia" w:hAnsiTheme="majorEastAsia" w:cs="Arial"/>
                <w:kern w:val="0"/>
                <w:sz w:val="20"/>
                <w:szCs w:val="20"/>
              </w:rPr>
            </w:pPr>
            <w:r w:rsidRPr="00174008">
              <w:rPr>
                <w:rFonts w:asciiTheme="majorEastAsia" w:eastAsiaTheme="majorEastAsia" w:hAnsiTheme="majorEastAsia" w:cs="Arial"/>
                <w:kern w:val="0"/>
                <w:sz w:val="20"/>
                <w:szCs w:val="20"/>
              </w:rPr>
              <w:t>3</w:t>
            </w:r>
          </w:p>
        </w:tc>
        <w:tc>
          <w:tcPr>
            <w:tcW w:w="1775" w:type="dxa"/>
            <w:tcBorders>
              <w:top w:val="nil"/>
              <w:left w:val="nil"/>
              <w:bottom w:val="single" w:sz="4" w:space="0" w:color="auto"/>
              <w:right w:val="single" w:sz="4" w:space="0" w:color="auto"/>
            </w:tcBorders>
            <w:shd w:val="clear" w:color="auto" w:fill="auto"/>
            <w:noWrap/>
            <w:vAlign w:val="center"/>
            <w:hideMark/>
          </w:tcPr>
          <w:p w:rsidR="001E5771" w:rsidRPr="00174008" w:rsidRDefault="001E5771" w:rsidP="001E5771">
            <w:pPr>
              <w:widowControl/>
              <w:jc w:val="center"/>
              <w:rPr>
                <w:rFonts w:asciiTheme="majorEastAsia" w:eastAsiaTheme="majorEastAsia" w:hAnsiTheme="majorEastAsia" w:cs="Arial"/>
                <w:kern w:val="0"/>
                <w:sz w:val="20"/>
                <w:szCs w:val="20"/>
              </w:rPr>
            </w:pPr>
            <w:r w:rsidRPr="00174008">
              <w:rPr>
                <w:rFonts w:asciiTheme="majorEastAsia" w:eastAsiaTheme="majorEastAsia" w:hAnsiTheme="majorEastAsia" w:cs="Arial"/>
                <w:kern w:val="0"/>
                <w:sz w:val="20"/>
                <w:szCs w:val="20"/>
              </w:rPr>
              <w:t>1</w:t>
            </w:r>
          </w:p>
        </w:tc>
        <w:tc>
          <w:tcPr>
            <w:tcW w:w="1775" w:type="dxa"/>
            <w:tcBorders>
              <w:top w:val="nil"/>
              <w:left w:val="nil"/>
              <w:bottom w:val="single" w:sz="4" w:space="0" w:color="auto"/>
              <w:right w:val="single" w:sz="4" w:space="0" w:color="auto"/>
            </w:tcBorders>
            <w:shd w:val="clear" w:color="auto" w:fill="auto"/>
            <w:noWrap/>
            <w:vAlign w:val="center"/>
            <w:hideMark/>
          </w:tcPr>
          <w:p w:rsidR="001E5771" w:rsidRPr="00174008" w:rsidRDefault="001E5771" w:rsidP="001E5771">
            <w:pPr>
              <w:widowControl/>
              <w:jc w:val="center"/>
              <w:rPr>
                <w:rFonts w:asciiTheme="majorEastAsia" w:eastAsiaTheme="majorEastAsia" w:hAnsiTheme="majorEastAsia" w:cs="Arial"/>
                <w:kern w:val="0"/>
                <w:sz w:val="20"/>
                <w:szCs w:val="20"/>
              </w:rPr>
            </w:pPr>
            <w:r w:rsidRPr="00174008">
              <w:rPr>
                <w:rFonts w:asciiTheme="majorEastAsia" w:eastAsiaTheme="majorEastAsia" w:hAnsiTheme="majorEastAsia" w:cs="Arial"/>
                <w:kern w:val="0"/>
                <w:sz w:val="20"/>
                <w:szCs w:val="20"/>
              </w:rPr>
              <w:t>2</w:t>
            </w:r>
          </w:p>
        </w:tc>
        <w:tc>
          <w:tcPr>
            <w:tcW w:w="1859" w:type="dxa"/>
            <w:tcBorders>
              <w:top w:val="nil"/>
              <w:left w:val="nil"/>
              <w:bottom w:val="single" w:sz="4" w:space="0" w:color="auto"/>
              <w:right w:val="single" w:sz="4" w:space="0" w:color="auto"/>
            </w:tcBorders>
            <w:shd w:val="clear" w:color="auto" w:fill="auto"/>
            <w:noWrap/>
            <w:vAlign w:val="center"/>
            <w:hideMark/>
          </w:tcPr>
          <w:p w:rsidR="001E5771" w:rsidRPr="00174008" w:rsidRDefault="001E5771" w:rsidP="001E5771">
            <w:pPr>
              <w:widowControl/>
              <w:jc w:val="center"/>
              <w:rPr>
                <w:rFonts w:asciiTheme="majorEastAsia" w:eastAsiaTheme="majorEastAsia" w:hAnsiTheme="majorEastAsia" w:cs="Arial"/>
                <w:kern w:val="0"/>
                <w:sz w:val="20"/>
                <w:szCs w:val="20"/>
              </w:rPr>
            </w:pPr>
            <w:r w:rsidRPr="00174008">
              <w:rPr>
                <w:rFonts w:asciiTheme="majorEastAsia" w:eastAsiaTheme="majorEastAsia" w:hAnsiTheme="majorEastAsia" w:cs="Arial"/>
                <w:kern w:val="0"/>
                <w:sz w:val="20"/>
                <w:szCs w:val="20"/>
              </w:rPr>
              <w:t>200.00%</w:t>
            </w:r>
          </w:p>
        </w:tc>
      </w:tr>
      <w:tr w:rsidR="001E5771" w:rsidRPr="00174008" w:rsidTr="003A509D">
        <w:trPr>
          <w:trHeight w:val="240"/>
        </w:trPr>
        <w:tc>
          <w:tcPr>
            <w:tcW w:w="1775" w:type="dxa"/>
            <w:tcBorders>
              <w:top w:val="nil"/>
              <w:left w:val="single" w:sz="4" w:space="0" w:color="auto"/>
              <w:bottom w:val="single" w:sz="4" w:space="0" w:color="auto"/>
              <w:right w:val="single" w:sz="4" w:space="0" w:color="auto"/>
            </w:tcBorders>
            <w:shd w:val="clear" w:color="auto" w:fill="auto"/>
            <w:noWrap/>
            <w:vAlign w:val="center"/>
            <w:hideMark/>
          </w:tcPr>
          <w:p w:rsidR="001E5771" w:rsidRPr="00174008" w:rsidRDefault="001E5771" w:rsidP="001E5771">
            <w:pPr>
              <w:widowControl/>
              <w:jc w:val="center"/>
              <w:rPr>
                <w:rFonts w:asciiTheme="majorEastAsia" w:eastAsiaTheme="majorEastAsia" w:hAnsiTheme="majorEastAsia" w:cs="Arial"/>
                <w:kern w:val="0"/>
                <w:sz w:val="20"/>
                <w:szCs w:val="20"/>
              </w:rPr>
            </w:pPr>
            <w:r w:rsidRPr="00174008">
              <w:rPr>
                <w:rFonts w:asciiTheme="majorEastAsia" w:eastAsiaTheme="majorEastAsia" w:hAnsiTheme="majorEastAsia" w:cs="Arial" w:hint="eastAsia"/>
                <w:kern w:val="0"/>
                <w:sz w:val="20"/>
                <w:szCs w:val="20"/>
              </w:rPr>
              <w:t>审查监督案件</w:t>
            </w:r>
          </w:p>
        </w:tc>
        <w:tc>
          <w:tcPr>
            <w:tcW w:w="1775" w:type="dxa"/>
            <w:tcBorders>
              <w:top w:val="nil"/>
              <w:left w:val="nil"/>
              <w:bottom w:val="single" w:sz="4" w:space="0" w:color="auto"/>
              <w:right w:val="single" w:sz="4" w:space="0" w:color="auto"/>
            </w:tcBorders>
            <w:shd w:val="clear" w:color="auto" w:fill="auto"/>
            <w:noWrap/>
            <w:vAlign w:val="center"/>
            <w:hideMark/>
          </w:tcPr>
          <w:p w:rsidR="001E5771" w:rsidRPr="00174008" w:rsidRDefault="001E5771" w:rsidP="001E5771">
            <w:pPr>
              <w:widowControl/>
              <w:jc w:val="center"/>
              <w:rPr>
                <w:rFonts w:asciiTheme="majorEastAsia" w:eastAsiaTheme="majorEastAsia" w:hAnsiTheme="majorEastAsia" w:cs="Arial"/>
                <w:kern w:val="0"/>
                <w:sz w:val="20"/>
                <w:szCs w:val="20"/>
              </w:rPr>
            </w:pPr>
            <w:r w:rsidRPr="00174008">
              <w:rPr>
                <w:rFonts w:asciiTheme="majorEastAsia" w:eastAsiaTheme="majorEastAsia" w:hAnsiTheme="majorEastAsia" w:cs="Arial"/>
                <w:kern w:val="0"/>
                <w:sz w:val="20"/>
                <w:szCs w:val="20"/>
              </w:rPr>
              <w:t>2</w:t>
            </w:r>
          </w:p>
        </w:tc>
        <w:tc>
          <w:tcPr>
            <w:tcW w:w="1775" w:type="dxa"/>
            <w:tcBorders>
              <w:top w:val="nil"/>
              <w:left w:val="nil"/>
              <w:bottom w:val="single" w:sz="4" w:space="0" w:color="auto"/>
              <w:right w:val="single" w:sz="4" w:space="0" w:color="auto"/>
            </w:tcBorders>
            <w:shd w:val="clear" w:color="auto" w:fill="auto"/>
            <w:noWrap/>
            <w:vAlign w:val="center"/>
            <w:hideMark/>
          </w:tcPr>
          <w:p w:rsidR="001E5771" w:rsidRPr="00174008" w:rsidRDefault="001E5771" w:rsidP="001E5771">
            <w:pPr>
              <w:widowControl/>
              <w:jc w:val="center"/>
              <w:rPr>
                <w:rFonts w:asciiTheme="majorEastAsia" w:eastAsiaTheme="majorEastAsia" w:hAnsiTheme="majorEastAsia" w:cs="Arial"/>
                <w:kern w:val="0"/>
                <w:sz w:val="20"/>
                <w:szCs w:val="20"/>
              </w:rPr>
            </w:pPr>
            <w:r w:rsidRPr="00174008">
              <w:rPr>
                <w:rFonts w:asciiTheme="majorEastAsia" w:eastAsiaTheme="majorEastAsia" w:hAnsiTheme="majorEastAsia" w:cs="Arial"/>
                <w:kern w:val="0"/>
                <w:sz w:val="20"/>
                <w:szCs w:val="20"/>
              </w:rPr>
              <w:t>4</w:t>
            </w:r>
          </w:p>
        </w:tc>
        <w:tc>
          <w:tcPr>
            <w:tcW w:w="1775" w:type="dxa"/>
            <w:tcBorders>
              <w:top w:val="nil"/>
              <w:left w:val="nil"/>
              <w:bottom w:val="single" w:sz="4" w:space="0" w:color="auto"/>
              <w:right w:val="single" w:sz="4" w:space="0" w:color="auto"/>
            </w:tcBorders>
            <w:shd w:val="clear" w:color="auto" w:fill="auto"/>
            <w:noWrap/>
            <w:vAlign w:val="center"/>
            <w:hideMark/>
          </w:tcPr>
          <w:p w:rsidR="001E5771" w:rsidRPr="00174008" w:rsidRDefault="001E5771" w:rsidP="001E5771">
            <w:pPr>
              <w:widowControl/>
              <w:jc w:val="center"/>
              <w:rPr>
                <w:rFonts w:asciiTheme="majorEastAsia" w:eastAsiaTheme="majorEastAsia" w:hAnsiTheme="majorEastAsia" w:cs="Arial"/>
                <w:kern w:val="0"/>
                <w:sz w:val="20"/>
                <w:szCs w:val="20"/>
              </w:rPr>
            </w:pPr>
            <w:r w:rsidRPr="00174008">
              <w:rPr>
                <w:rFonts w:asciiTheme="majorEastAsia" w:eastAsiaTheme="majorEastAsia" w:hAnsiTheme="majorEastAsia" w:cs="Arial"/>
                <w:kern w:val="0"/>
                <w:sz w:val="20"/>
                <w:szCs w:val="20"/>
              </w:rPr>
              <w:t>-2</w:t>
            </w:r>
          </w:p>
        </w:tc>
        <w:tc>
          <w:tcPr>
            <w:tcW w:w="1859" w:type="dxa"/>
            <w:tcBorders>
              <w:top w:val="nil"/>
              <w:left w:val="nil"/>
              <w:bottom w:val="single" w:sz="4" w:space="0" w:color="auto"/>
              <w:right w:val="single" w:sz="4" w:space="0" w:color="auto"/>
            </w:tcBorders>
            <w:shd w:val="clear" w:color="auto" w:fill="auto"/>
            <w:noWrap/>
            <w:vAlign w:val="center"/>
            <w:hideMark/>
          </w:tcPr>
          <w:p w:rsidR="001E5771" w:rsidRPr="00174008" w:rsidRDefault="001E5771" w:rsidP="001E5771">
            <w:pPr>
              <w:widowControl/>
              <w:jc w:val="center"/>
              <w:rPr>
                <w:rFonts w:asciiTheme="majorEastAsia" w:eastAsiaTheme="majorEastAsia" w:hAnsiTheme="majorEastAsia" w:cs="Arial"/>
                <w:kern w:val="0"/>
                <w:sz w:val="20"/>
                <w:szCs w:val="20"/>
              </w:rPr>
            </w:pPr>
            <w:r w:rsidRPr="00174008">
              <w:rPr>
                <w:rFonts w:asciiTheme="majorEastAsia" w:eastAsiaTheme="majorEastAsia" w:hAnsiTheme="majorEastAsia" w:cs="Arial"/>
                <w:kern w:val="0"/>
                <w:sz w:val="20"/>
                <w:szCs w:val="20"/>
              </w:rPr>
              <w:t>-50.00%</w:t>
            </w:r>
          </w:p>
        </w:tc>
      </w:tr>
      <w:tr w:rsidR="001E5771" w:rsidRPr="00174008" w:rsidTr="003A509D">
        <w:trPr>
          <w:trHeight w:val="240"/>
        </w:trPr>
        <w:tc>
          <w:tcPr>
            <w:tcW w:w="1775" w:type="dxa"/>
            <w:tcBorders>
              <w:top w:val="nil"/>
              <w:left w:val="single" w:sz="4" w:space="0" w:color="auto"/>
              <w:bottom w:val="single" w:sz="4" w:space="0" w:color="auto"/>
              <w:right w:val="single" w:sz="4" w:space="0" w:color="auto"/>
            </w:tcBorders>
            <w:shd w:val="clear" w:color="auto" w:fill="auto"/>
            <w:noWrap/>
            <w:vAlign w:val="center"/>
            <w:hideMark/>
          </w:tcPr>
          <w:p w:rsidR="001E5771" w:rsidRPr="00174008" w:rsidRDefault="001E5771" w:rsidP="001E5771">
            <w:pPr>
              <w:widowControl/>
              <w:jc w:val="center"/>
              <w:rPr>
                <w:rFonts w:asciiTheme="majorEastAsia" w:eastAsiaTheme="majorEastAsia" w:hAnsiTheme="majorEastAsia" w:cs="Arial"/>
                <w:kern w:val="0"/>
                <w:sz w:val="20"/>
                <w:szCs w:val="20"/>
              </w:rPr>
            </w:pPr>
            <w:r w:rsidRPr="00174008">
              <w:rPr>
                <w:rFonts w:asciiTheme="majorEastAsia" w:eastAsiaTheme="majorEastAsia" w:hAnsiTheme="majorEastAsia" w:cs="Arial" w:hint="eastAsia"/>
                <w:kern w:val="0"/>
                <w:sz w:val="20"/>
                <w:szCs w:val="20"/>
              </w:rPr>
              <w:t>执行案件</w:t>
            </w:r>
          </w:p>
        </w:tc>
        <w:tc>
          <w:tcPr>
            <w:tcW w:w="1775" w:type="dxa"/>
            <w:tcBorders>
              <w:top w:val="nil"/>
              <w:left w:val="nil"/>
              <w:bottom w:val="single" w:sz="4" w:space="0" w:color="auto"/>
              <w:right w:val="single" w:sz="4" w:space="0" w:color="auto"/>
            </w:tcBorders>
            <w:shd w:val="clear" w:color="auto" w:fill="auto"/>
            <w:noWrap/>
            <w:vAlign w:val="center"/>
            <w:hideMark/>
          </w:tcPr>
          <w:p w:rsidR="001E5771" w:rsidRPr="00174008" w:rsidRDefault="001E5771" w:rsidP="001E5771">
            <w:pPr>
              <w:widowControl/>
              <w:jc w:val="center"/>
              <w:rPr>
                <w:rFonts w:asciiTheme="majorEastAsia" w:eastAsiaTheme="majorEastAsia" w:hAnsiTheme="majorEastAsia" w:cs="Arial"/>
                <w:kern w:val="0"/>
                <w:sz w:val="20"/>
                <w:szCs w:val="20"/>
              </w:rPr>
            </w:pPr>
            <w:r w:rsidRPr="00174008">
              <w:rPr>
                <w:rFonts w:asciiTheme="majorEastAsia" w:eastAsiaTheme="majorEastAsia" w:hAnsiTheme="majorEastAsia" w:cs="Arial"/>
                <w:kern w:val="0"/>
                <w:sz w:val="20"/>
                <w:szCs w:val="20"/>
              </w:rPr>
              <w:t>403</w:t>
            </w:r>
          </w:p>
        </w:tc>
        <w:tc>
          <w:tcPr>
            <w:tcW w:w="1775" w:type="dxa"/>
            <w:tcBorders>
              <w:top w:val="nil"/>
              <w:left w:val="nil"/>
              <w:bottom w:val="single" w:sz="4" w:space="0" w:color="auto"/>
              <w:right w:val="single" w:sz="4" w:space="0" w:color="auto"/>
            </w:tcBorders>
            <w:shd w:val="clear" w:color="auto" w:fill="auto"/>
            <w:noWrap/>
            <w:vAlign w:val="center"/>
            <w:hideMark/>
          </w:tcPr>
          <w:p w:rsidR="001E5771" w:rsidRPr="00174008" w:rsidRDefault="001E5771" w:rsidP="001E5771">
            <w:pPr>
              <w:widowControl/>
              <w:jc w:val="center"/>
              <w:rPr>
                <w:rFonts w:asciiTheme="majorEastAsia" w:eastAsiaTheme="majorEastAsia" w:hAnsiTheme="majorEastAsia" w:cs="Arial"/>
                <w:kern w:val="0"/>
                <w:sz w:val="20"/>
                <w:szCs w:val="20"/>
              </w:rPr>
            </w:pPr>
            <w:r w:rsidRPr="00174008">
              <w:rPr>
                <w:rFonts w:asciiTheme="majorEastAsia" w:eastAsiaTheme="majorEastAsia" w:hAnsiTheme="majorEastAsia" w:cs="Arial"/>
                <w:kern w:val="0"/>
                <w:sz w:val="20"/>
                <w:szCs w:val="20"/>
              </w:rPr>
              <w:t>321</w:t>
            </w:r>
          </w:p>
        </w:tc>
        <w:tc>
          <w:tcPr>
            <w:tcW w:w="1775" w:type="dxa"/>
            <w:tcBorders>
              <w:top w:val="nil"/>
              <w:left w:val="nil"/>
              <w:bottom w:val="single" w:sz="4" w:space="0" w:color="auto"/>
              <w:right w:val="single" w:sz="4" w:space="0" w:color="auto"/>
            </w:tcBorders>
            <w:shd w:val="clear" w:color="auto" w:fill="auto"/>
            <w:noWrap/>
            <w:vAlign w:val="center"/>
            <w:hideMark/>
          </w:tcPr>
          <w:p w:rsidR="001E5771" w:rsidRPr="00174008" w:rsidRDefault="001E5771" w:rsidP="001E5771">
            <w:pPr>
              <w:widowControl/>
              <w:jc w:val="center"/>
              <w:rPr>
                <w:rFonts w:asciiTheme="majorEastAsia" w:eastAsiaTheme="majorEastAsia" w:hAnsiTheme="majorEastAsia" w:cs="Arial"/>
                <w:kern w:val="0"/>
                <w:sz w:val="20"/>
                <w:szCs w:val="20"/>
              </w:rPr>
            </w:pPr>
            <w:r w:rsidRPr="00174008">
              <w:rPr>
                <w:rFonts w:asciiTheme="majorEastAsia" w:eastAsiaTheme="majorEastAsia" w:hAnsiTheme="majorEastAsia" w:cs="Arial"/>
                <w:kern w:val="0"/>
                <w:sz w:val="20"/>
                <w:szCs w:val="20"/>
              </w:rPr>
              <w:t>82</w:t>
            </w:r>
          </w:p>
        </w:tc>
        <w:tc>
          <w:tcPr>
            <w:tcW w:w="1859" w:type="dxa"/>
            <w:tcBorders>
              <w:top w:val="nil"/>
              <w:left w:val="nil"/>
              <w:bottom w:val="single" w:sz="4" w:space="0" w:color="auto"/>
              <w:right w:val="single" w:sz="4" w:space="0" w:color="auto"/>
            </w:tcBorders>
            <w:shd w:val="clear" w:color="auto" w:fill="auto"/>
            <w:noWrap/>
            <w:vAlign w:val="center"/>
            <w:hideMark/>
          </w:tcPr>
          <w:p w:rsidR="001E5771" w:rsidRPr="00174008" w:rsidRDefault="001E5771" w:rsidP="001E5771">
            <w:pPr>
              <w:widowControl/>
              <w:jc w:val="center"/>
              <w:rPr>
                <w:rFonts w:asciiTheme="majorEastAsia" w:eastAsiaTheme="majorEastAsia" w:hAnsiTheme="majorEastAsia" w:cs="Arial"/>
                <w:kern w:val="0"/>
                <w:sz w:val="20"/>
                <w:szCs w:val="20"/>
              </w:rPr>
            </w:pPr>
            <w:r w:rsidRPr="00174008">
              <w:rPr>
                <w:rFonts w:asciiTheme="majorEastAsia" w:eastAsiaTheme="majorEastAsia" w:hAnsiTheme="majorEastAsia" w:cs="Arial"/>
                <w:kern w:val="0"/>
                <w:sz w:val="20"/>
                <w:szCs w:val="20"/>
              </w:rPr>
              <w:t>25.55%</w:t>
            </w:r>
          </w:p>
        </w:tc>
      </w:tr>
    </w:tbl>
    <w:p w:rsidR="001E5771" w:rsidRPr="00174008" w:rsidRDefault="001E5771" w:rsidP="00F1353A">
      <w:pPr>
        <w:tabs>
          <w:tab w:val="left" w:pos="800"/>
        </w:tabs>
        <w:snapToGrid w:val="0"/>
        <w:spacing w:line="360" w:lineRule="auto"/>
        <w:ind w:firstLineChars="200" w:firstLine="640"/>
        <w:rPr>
          <w:rFonts w:asciiTheme="majorEastAsia" w:eastAsiaTheme="majorEastAsia" w:hAnsiTheme="majorEastAsia"/>
        </w:rPr>
      </w:pPr>
    </w:p>
    <w:p w:rsidR="00C17004" w:rsidRPr="00174008" w:rsidRDefault="0080169B" w:rsidP="004624E8">
      <w:pPr>
        <w:tabs>
          <w:tab w:val="left" w:pos="800"/>
        </w:tabs>
        <w:snapToGrid w:val="0"/>
        <w:spacing w:line="360" w:lineRule="auto"/>
        <w:ind w:firstLineChars="200" w:firstLine="640"/>
        <w:rPr>
          <w:rFonts w:asciiTheme="majorEastAsia" w:eastAsiaTheme="majorEastAsia" w:hAnsiTheme="majorEastAsia"/>
          <w:b/>
        </w:rPr>
      </w:pPr>
      <w:r w:rsidRPr="00174008">
        <w:rPr>
          <w:rFonts w:asciiTheme="majorEastAsia" w:eastAsiaTheme="majorEastAsia" w:hAnsiTheme="majorEastAsia"/>
          <w:noProof/>
        </w:rPr>
        <w:lastRenderedPageBreak/>
        <w:drawing>
          <wp:inline distT="0" distB="0" distL="0" distR="0">
            <wp:extent cx="5486400" cy="3648710"/>
            <wp:effectExtent l="0" t="0" r="0" b="0"/>
            <wp:docPr id="3" name="对象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174008">
        <w:rPr>
          <w:rFonts w:asciiTheme="majorEastAsia" w:eastAsiaTheme="majorEastAsia" w:hAnsiTheme="majorEastAsia"/>
          <w:noProof/>
          <w:color w:val="FF0000"/>
        </w:rPr>
        <w:drawing>
          <wp:inline distT="0" distB="0" distL="0" distR="0">
            <wp:extent cx="5253355" cy="3157220"/>
            <wp:effectExtent l="0" t="0" r="0" b="0"/>
            <wp:docPr id="4" name="对象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A2954" w:rsidRPr="00174008" w:rsidRDefault="000A2954" w:rsidP="00821A47">
      <w:pPr>
        <w:snapToGrid w:val="0"/>
        <w:spacing w:line="360" w:lineRule="auto"/>
        <w:ind w:firstLineChars="97" w:firstLine="312"/>
        <w:rPr>
          <w:rFonts w:asciiTheme="majorEastAsia" w:eastAsiaTheme="majorEastAsia" w:hAnsiTheme="majorEastAsia"/>
          <w:b/>
        </w:rPr>
      </w:pPr>
      <w:r w:rsidRPr="00174008">
        <w:rPr>
          <w:rFonts w:asciiTheme="majorEastAsia" w:eastAsiaTheme="majorEastAsia" w:hAnsiTheme="majorEastAsia" w:hint="eastAsia"/>
          <w:b/>
        </w:rPr>
        <w:t>（三）</w:t>
      </w:r>
      <w:r w:rsidR="005B6A38" w:rsidRPr="00174008">
        <w:rPr>
          <w:rFonts w:asciiTheme="majorEastAsia" w:eastAsiaTheme="majorEastAsia" w:hAnsiTheme="majorEastAsia" w:hint="eastAsia"/>
          <w:b/>
        </w:rPr>
        <w:t>审结</w:t>
      </w:r>
      <w:r w:rsidRPr="00174008">
        <w:rPr>
          <w:rFonts w:asciiTheme="majorEastAsia" w:eastAsiaTheme="majorEastAsia" w:hAnsiTheme="majorEastAsia" w:hint="eastAsia"/>
          <w:b/>
        </w:rPr>
        <w:t xml:space="preserve">案件情况 </w:t>
      </w:r>
    </w:p>
    <w:p w:rsidR="008C21CD" w:rsidRPr="00174008" w:rsidRDefault="008C21CD" w:rsidP="00821A47">
      <w:pPr>
        <w:snapToGrid w:val="0"/>
        <w:spacing w:line="360" w:lineRule="auto"/>
        <w:ind w:firstLineChars="200" w:firstLine="643"/>
        <w:rPr>
          <w:rFonts w:asciiTheme="majorEastAsia" w:eastAsiaTheme="majorEastAsia" w:hAnsiTheme="majorEastAsia"/>
          <w:b/>
        </w:rPr>
      </w:pPr>
      <w:r w:rsidRPr="00174008">
        <w:rPr>
          <w:rFonts w:asciiTheme="majorEastAsia" w:eastAsiaTheme="majorEastAsia" w:hAnsiTheme="majorEastAsia" w:hint="eastAsia"/>
          <w:b/>
        </w:rPr>
        <w:t>1.总体情况</w:t>
      </w:r>
    </w:p>
    <w:p w:rsidR="00CF5AF6" w:rsidRPr="00174008" w:rsidRDefault="00636A9E" w:rsidP="00E54D89">
      <w:pPr>
        <w:snapToGrid w:val="0"/>
        <w:spacing w:line="360" w:lineRule="auto"/>
        <w:ind w:firstLineChars="200" w:firstLine="640"/>
        <w:rPr>
          <w:rFonts w:asciiTheme="majorEastAsia" w:eastAsiaTheme="majorEastAsia" w:hAnsiTheme="majorEastAsia"/>
        </w:rPr>
      </w:pPr>
      <w:r w:rsidRPr="00174008">
        <w:rPr>
          <w:rFonts w:asciiTheme="majorEastAsia" w:eastAsiaTheme="majorEastAsia" w:hAnsiTheme="majorEastAsia" w:hint="eastAsia"/>
        </w:rPr>
        <w:t>2017年</w:t>
      </w:r>
      <w:r w:rsidR="003B6014" w:rsidRPr="00174008">
        <w:rPr>
          <w:rFonts w:asciiTheme="majorEastAsia" w:eastAsiaTheme="majorEastAsia" w:hAnsiTheme="majorEastAsia" w:hint="eastAsia"/>
        </w:rPr>
        <w:t>上半年</w:t>
      </w:r>
      <w:r w:rsidR="00CF5AF6" w:rsidRPr="00174008">
        <w:rPr>
          <w:rFonts w:asciiTheme="majorEastAsia" w:eastAsiaTheme="majorEastAsia" w:hAnsiTheme="majorEastAsia" w:hint="eastAsia"/>
        </w:rPr>
        <w:t>和龙市人民法院审结案件</w:t>
      </w:r>
      <w:r w:rsidR="007D2B08" w:rsidRPr="00174008">
        <w:rPr>
          <w:rFonts w:asciiTheme="majorEastAsia" w:eastAsiaTheme="majorEastAsia" w:hAnsiTheme="majorEastAsia" w:hint="eastAsia"/>
        </w:rPr>
        <w:t>同比去年有所</w:t>
      </w:r>
      <w:r w:rsidR="003D5A9F" w:rsidRPr="00174008">
        <w:rPr>
          <w:rFonts w:asciiTheme="majorEastAsia" w:eastAsiaTheme="majorEastAsia" w:hAnsiTheme="majorEastAsia" w:hint="eastAsia"/>
        </w:rPr>
        <w:t>增加</w:t>
      </w:r>
      <w:r w:rsidR="00CF5AF6" w:rsidRPr="00174008">
        <w:rPr>
          <w:rFonts w:asciiTheme="majorEastAsia" w:eastAsiaTheme="majorEastAsia" w:hAnsiTheme="majorEastAsia" w:hint="eastAsia"/>
        </w:rPr>
        <w:t>。审结</w:t>
      </w:r>
      <w:r w:rsidR="003D5A9F" w:rsidRPr="00174008">
        <w:rPr>
          <w:rFonts w:asciiTheme="majorEastAsia" w:eastAsiaTheme="majorEastAsia" w:hAnsiTheme="majorEastAsia" w:hint="eastAsia"/>
        </w:rPr>
        <w:t>951</w:t>
      </w:r>
      <w:r w:rsidR="00CF5AF6" w:rsidRPr="00174008">
        <w:rPr>
          <w:rFonts w:asciiTheme="majorEastAsia" w:eastAsiaTheme="majorEastAsia" w:hAnsiTheme="majorEastAsia" w:hint="eastAsia"/>
        </w:rPr>
        <w:t>件，同比</w:t>
      </w:r>
      <w:r w:rsidR="003D5A9F" w:rsidRPr="00174008">
        <w:rPr>
          <w:rFonts w:asciiTheme="majorEastAsia" w:eastAsiaTheme="majorEastAsia" w:hAnsiTheme="majorEastAsia" w:hint="eastAsia"/>
        </w:rPr>
        <w:t>增加215</w:t>
      </w:r>
      <w:r w:rsidR="006B56E9" w:rsidRPr="00174008">
        <w:rPr>
          <w:rFonts w:asciiTheme="majorEastAsia" w:eastAsiaTheme="majorEastAsia" w:hAnsiTheme="majorEastAsia" w:hint="eastAsia"/>
        </w:rPr>
        <w:t>件，</w:t>
      </w:r>
      <w:r w:rsidR="003D5A9F" w:rsidRPr="00174008">
        <w:rPr>
          <w:rFonts w:asciiTheme="majorEastAsia" w:eastAsiaTheme="majorEastAsia" w:hAnsiTheme="majorEastAsia" w:hint="eastAsia"/>
        </w:rPr>
        <w:t>上升29.21</w:t>
      </w:r>
      <w:r w:rsidR="00CF5AF6" w:rsidRPr="00174008">
        <w:rPr>
          <w:rFonts w:asciiTheme="majorEastAsia" w:eastAsiaTheme="majorEastAsia" w:hAnsiTheme="majorEastAsia" w:hint="eastAsia"/>
        </w:rPr>
        <w:t>%</w:t>
      </w:r>
      <w:r w:rsidR="00A47A31" w:rsidRPr="00174008">
        <w:rPr>
          <w:rFonts w:asciiTheme="majorEastAsia" w:eastAsiaTheme="majorEastAsia" w:hAnsiTheme="majorEastAsia" w:hint="eastAsia"/>
        </w:rPr>
        <w:t>。</w:t>
      </w:r>
    </w:p>
    <w:p w:rsidR="00CF5AF6" w:rsidRPr="00174008" w:rsidRDefault="00CF5AF6" w:rsidP="00821A47">
      <w:pPr>
        <w:snapToGrid w:val="0"/>
        <w:spacing w:line="360" w:lineRule="auto"/>
        <w:ind w:firstLineChars="200" w:firstLine="643"/>
        <w:rPr>
          <w:rFonts w:asciiTheme="majorEastAsia" w:eastAsiaTheme="majorEastAsia" w:hAnsiTheme="majorEastAsia"/>
        </w:rPr>
      </w:pPr>
      <w:r w:rsidRPr="00174008">
        <w:rPr>
          <w:rFonts w:asciiTheme="majorEastAsia" w:eastAsiaTheme="majorEastAsia" w:hAnsiTheme="majorEastAsia" w:hint="eastAsia"/>
          <w:b/>
        </w:rPr>
        <w:lastRenderedPageBreak/>
        <w:t>2.案件类型</w:t>
      </w:r>
    </w:p>
    <w:p w:rsidR="00A603AA" w:rsidRPr="00174008" w:rsidRDefault="00636A9E" w:rsidP="00F1353A">
      <w:pPr>
        <w:tabs>
          <w:tab w:val="left" w:pos="800"/>
        </w:tabs>
        <w:snapToGrid w:val="0"/>
        <w:spacing w:line="360" w:lineRule="auto"/>
        <w:ind w:firstLineChars="200" w:firstLine="640"/>
        <w:rPr>
          <w:rFonts w:asciiTheme="majorEastAsia" w:eastAsiaTheme="majorEastAsia" w:hAnsiTheme="majorEastAsia"/>
        </w:rPr>
      </w:pPr>
      <w:r w:rsidRPr="00174008">
        <w:rPr>
          <w:rFonts w:asciiTheme="majorEastAsia" w:eastAsiaTheme="majorEastAsia" w:hAnsiTheme="majorEastAsia" w:hint="eastAsia"/>
        </w:rPr>
        <w:t>2017年</w:t>
      </w:r>
      <w:r w:rsidR="003B6014" w:rsidRPr="00174008">
        <w:rPr>
          <w:rFonts w:asciiTheme="majorEastAsia" w:eastAsiaTheme="majorEastAsia" w:hAnsiTheme="majorEastAsia" w:hint="eastAsia"/>
        </w:rPr>
        <w:t>上半年</w:t>
      </w:r>
      <w:r w:rsidR="005B6A38" w:rsidRPr="00174008">
        <w:rPr>
          <w:rFonts w:asciiTheme="majorEastAsia" w:eastAsiaTheme="majorEastAsia" w:hAnsiTheme="majorEastAsia" w:hint="eastAsia"/>
        </w:rPr>
        <w:t>和龙市人民法院各类型案件中的刑罚变更案件、</w:t>
      </w:r>
      <w:r w:rsidR="003D5A9F" w:rsidRPr="00174008">
        <w:rPr>
          <w:rFonts w:asciiTheme="majorEastAsia" w:eastAsiaTheme="majorEastAsia" w:hAnsiTheme="majorEastAsia" w:hint="eastAsia"/>
        </w:rPr>
        <w:t>民事案件、行政案件、</w:t>
      </w:r>
      <w:r w:rsidR="005B6A38" w:rsidRPr="00174008">
        <w:rPr>
          <w:rFonts w:asciiTheme="majorEastAsia" w:eastAsiaTheme="majorEastAsia" w:hAnsiTheme="majorEastAsia" w:hint="eastAsia"/>
        </w:rPr>
        <w:t>执行案件</w:t>
      </w:r>
      <w:r w:rsidR="00673AC0" w:rsidRPr="00174008">
        <w:rPr>
          <w:rFonts w:asciiTheme="majorEastAsia" w:eastAsiaTheme="majorEastAsia" w:hAnsiTheme="majorEastAsia" w:hint="eastAsia"/>
        </w:rPr>
        <w:t>审结案件数量</w:t>
      </w:r>
      <w:r w:rsidR="005B6A38" w:rsidRPr="00174008">
        <w:rPr>
          <w:rFonts w:asciiTheme="majorEastAsia" w:eastAsiaTheme="majorEastAsia" w:hAnsiTheme="majorEastAsia" w:hint="eastAsia"/>
        </w:rPr>
        <w:t>均呈小幅度上升态势</w:t>
      </w:r>
      <w:r w:rsidR="00D85E1B" w:rsidRPr="00174008">
        <w:rPr>
          <w:rFonts w:asciiTheme="majorEastAsia" w:eastAsiaTheme="majorEastAsia" w:hAnsiTheme="majorEastAsia" w:hint="eastAsia"/>
        </w:rPr>
        <w:t>。刑事案件、审查监督案件</w:t>
      </w:r>
      <w:r w:rsidR="00673AC0" w:rsidRPr="00174008">
        <w:rPr>
          <w:rFonts w:asciiTheme="majorEastAsia" w:eastAsiaTheme="majorEastAsia" w:hAnsiTheme="majorEastAsia" w:hint="eastAsia"/>
        </w:rPr>
        <w:t>审结案件数量均呈</w:t>
      </w:r>
      <w:r w:rsidR="0083287B" w:rsidRPr="00174008">
        <w:rPr>
          <w:rFonts w:asciiTheme="majorEastAsia" w:eastAsiaTheme="majorEastAsia" w:hAnsiTheme="majorEastAsia" w:hint="eastAsia"/>
        </w:rPr>
        <w:t>较大幅度</w:t>
      </w:r>
      <w:r w:rsidR="00673AC0" w:rsidRPr="00174008">
        <w:rPr>
          <w:rFonts w:asciiTheme="majorEastAsia" w:eastAsiaTheme="majorEastAsia" w:hAnsiTheme="majorEastAsia" w:hint="eastAsia"/>
        </w:rPr>
        <w:t>下降趋势。</w:t>
      </w:r>
      <w:r w:rsidR="00D85E1B" w:rsidRPr="00174008">
        <w:rPr>
          <w:rFonts w:asciiTheme="majorEastAsia" w:eastAsiaTheme="majorEastAsia" w:hAnsiTheme="majorEastAsia" w:hint="eastAsia"/>
        </w:rPr>
        <w:t>赔偿案件</w:t>
      </w:r>
      <w:r w:rsidR="0083287B" w:rsidRPr="00174008">
        <w:rPr>
          <w:rFonts w:asciiTheme="majorEastAsia" w:eastAsiaTheme="majorEastAsia" w:hAnsiTheme="majorEastAsia" w:hint="eastAsia"/>
        </w:rPr>
        <w:t>零结案。</w:t>
      </w:r>
    </w:p>
    <w:tbl>
      <w:tblPr>
        <w:tblW w:w="8959" w:type="dxa"/>
        <w:tblInd w:w="94" w:type="dxa"/>
        <w:tblLook w:val="04A0"/>
      </w:tblPr>
      <w:tblGrid>
        <w:gridCol w:w="1775"/>
        <w:gridCol w:w="1775"/>
        <w:gridCol w:w="1775"/>
        <w:gridCol w:w="1775"/>
        <w:gridCol w:w="1859"/>
      </w:tblGrid>
      <w:tr w:rsidR="003D5A9F" w:rsidRPr="00174008" w:rsidTr="00E96849">
        <w:trPr>
          <w:trHeight w:val="240"/>
        </w:trPr>
        <w:tc>
          <w:tcPr>
            <w:tcW w:w="1775" w:type="dxa"/>
            <w:tcBorders>
              <w:top w:val="single" w:sz="4" w:space="0" w:color="auto"/>
              <w:left w:val="single" w:sz="4" w:space="0" w:color="auto"/>
              <w:bottom w:val="nil"/>
              <w:right w:val="single" w:sz="4" w:space="0" w:color="auto"/>
            </w:tcBorders>
            <w:shd w:val="clear" w:color="auto" w:fill="auto"/>
            <w:noWrap/>
            <w:vAlign w:val="center"/>
            <w:hideMark/>
          </w:tcPr>
          <w:p w:rsidR="003D5A9F" w:rsidRPr="00174008" w:rsidRDefault="003D5A9F" w:rsidP="00E96849">
            <w:pPr>
              <w:widowControl/>
              <w:jc w:val="center"/>
              <w:rPr>
                <w:rFonts w:asciiTheme="majorEastAsia" w:eastAsiaTheme="majorEastAsia" w:hAnsiTheme="majorEastAsia" w:cs="Arial"/>
                <w:kern w:val="0"/>
                <w:sz w:val="20"/>
                <w:szCs w:val="20"/>
              </w:rPr>
            </w:pPr>
            <w:r w:rsidRPr="00174008">
              <w:rPr>
                <w:rFonts w:asciiTheme="majorEastAsia" w:eastAsiaTheme="majorEastAsia" w:hAnsiTheme="majorEastAsia" w:cs="Arial" w:hint="eastAsia"/>
                <w:kern w:val="0"/>
                <w:sz w:val="20"/>
                <w:szCs w:val="20"/>
              </w:rPr>
              <w:t>审结案件</w:t>
            </w:r>
          </w:p>
        </w:tc>
        <w:tc>
          <w:tcPr>
            <w:tcW w:w="1775" w:type="dxa"/>
            <w:tcBorders>
              <w:top w:val="single" w:sz="4" w:space="0" w:color="auto"/>
              <w:left w:val="nil"/>
              <w:bottom w:val="nil"/>
              <w:right w:val="single" w:sz="4" w:space="0" w:color="auto"/>
            </w:tcBorders>
            <w:shd w:val="clear" w:color="auto" w:fill="auto"/>
            <w:noWrap/>
            <w:vAlign w:val="center"/>
            <w:hideMark/>
          </w:tcPr>
          <w:p w:rsidR="003D5A9F" w:rsidRPr="00174008" w:rsidRDefault="003D5A9F" w:rsidP="00E96849">
            <w:pPr>
              <w:widowControl/>
              <w:jc w:val="center"/>
              <w:rPr>
                <w:rFonts w:asciiTheme="majorEastAsia" w:eastAsiaTheme="majorEastAsia" w:hAnsiTheme="majorEastAsia" w:cs="Arial"/>
                <w:kern w:val="0"/>
                <w:sz w:val="20"/>
                <w:szCs w:val="20"/>
              </w:rPr>
            </w:pPr>
            <w:r w:rsidRPr="00174008">
              <w:rPr>
                <w:rFonts w:asciiTheme="majorEastAsia" w:eastAsiaTheme="majorEastAsia" w:hAnsiTheme="majorEastAsia" w:cs="Arial" w:hint="eastAsia"/>
                <w:kern w:val="0"/>
                <w:sz w:val="20"/>
                <w:szCs w:val="20"/>
              </w:rPr>
              <w:t>2017上半年</w:t>
            </w:r>
          </w:p>
        </w:tc>
        <w:tc>
          <w:tcPr>
            <w:tcW w:w="1775" w:type="dxa"/>
            <w:tcBorders>
              <w:top w:val="single" w:sz="4" w:space="0" w:color="auto"/>
              <w:left w:val="nil"/>
              <w:bottom w:val="nil"/>
              <w:right w:val="single" w:sz="4" w:space="0" w:color="auto"/>
            </w:tcBorders>
            <w:shd w:val="clear" w:color="auto" w:fill="auto"/>
            <w:noWrap/>
            <w:vAlign w:val="center"/>
            <w:hideMark/>
          </w:tcPr>
          <w:p w:rsidR="003D5A9F" w:rsidRPr="00174008" w:rsidRDefault="003D5A9F" w:rsidP="00E96849">
            <w:pPr>
              <w:widowControl/>
              <w:jc w:val="center"/>
              <w:rPr>
                <w:rFonts w:asciiTheme="majorEastAsia" w:eastAsiaTheme="majorEastAsia" w:hAnsiTheme="majorEastAsia" w:cs="Arial"/>
                <w:kern w:val="0"/>
                <w:sz w:val="20"/>
                <w:szCs w:val="20"/>
              </w:rPr>
            </w:pPr>
            <w:r w:rsidRPr="00174008">
              <w:rPr>
                <w:rFonts w:asciiTheme="majorEastAsia" w:eastAsiaTheme="majorEastAsia" w:hAnsiTheme="majorEastAsia" w:cs="Arial"/>
                <w:kern w:val="0"/>
                <w:sz w:val="20"/>
                <w:szCs w:val="20"/>
              </w:rPr>
              <w:t>2016</w:t>
            </w:r>
            <w:r w:rsidRPr="00174008">
              <w:rPr>
                <w:rFonts w:asciiTheme="majorEastAsia" w:eastAsiaTheme="majorEastAsia" w:hAnsiTheme="majorEastAsia" w:cs="Arial" w:hint="eastAsia"/>
                <w:kern w:val="0"/>
                <w:sz w:val="20"/>
                <w:szCs w:val="20"/>
              </w:rPr>
              <w:t>上半年</w:t>
            </w:r>
          </w:p>
        </w:tc>
        <w:tc>
          <w:tcPr>
            <w:tcW w:w="1775" w:type="dxa"/>
            <w:tcBorders>
              <w:top w:val="single" w:sz="4" w:space="0" w:color="auto"/>
              <w:left w:val="single" w:sz="4" w:space="0" w:color="auto"/>
              <w:bottom w:val="nil"/>
              <w:right w:val="single" w:sz="4" w:space="0" w:color="auto"/>
            </w:tcBorders>
            <w:shd w:val="clear" w:color="auto" w:fill="auto"/>
            <w:noWrap/>
            <w:vAlign w:val="center"/>
            <w:hideMark/>
          </w:tcPr>
          <w:p w:rsidR="003D5A9F" w:rsidRPr="00174008" w:rsidRDefault="003D5A9F" w:rsidP="00E96849">
            <w:pPr>
              <w:widowControl/>
              <w:jc w:val="center"/>
              <w:rPr>
                <w:rFonts w:asciiTheme="majorEastAsia" w:eastAsiaTheme="majorEastAsia" w:hAnsiTheme="majorEastAsia" w:cs="Arial"/>
                <w:kern w:val="0"/>
                <w:sz w:val="20"/>
                <w:szCs w:val="20"/>
              </w:rPr>
            </w:pPr>
            <w:r w:rsidRPr="00174008">
              <w:rPr>
                <w:rFonts w:asciiTheme="majorEastAsia" w:eastAsiaTheme="majorEastAsia" w:hAnsiTheme="majorEastAsia" w:cs="Arial" w:hint="eastAsia"/>
                <w:kern w:val="0"/>
                <w:sz w:val="20"/>
                <w:szCs w:val="20"/>
              </w:rPr>
              <w:t>同比（件）</w:t>
            </w:r>
          </w:p>
        </w:tc>
        <w:tc>
          <w:tcPr>
            <w:tcW w:w="1859" w:type="dxa"/>
            <w:tcBorders>
              <w:top w:val="single" w:sz="4" w:space="0" w:color="auto"/>
              <w:left w:val="single" w:sz="4" w:space="0" w:color="auto"/>
              <w:bottom w:val="nil"/>
              <w:right w:val="single" w:sz="4" w:space="0" w:color="auto"/>
            </w:tcBorders>
            <w:shd w:val="clear" w:color="auto" w:fill="auto"/>
            <w:noWrap/>
            <w:vAlign w:val="center"/>
            <w:hideMark/>
          </w:tcPr>
          <w:p w:rsidR="003D5A9F" w:rsidRPr="00174008" w:rsidRDefault="003D5A9F" w:rsidP="00E96849">
            <w:pPr>
              <w:widowControl/>
              <w:jc w:val="center"/>
              <w:rPr>
                <w:rFonts w:asciiTheme="majorEastAsia" w:eastAsiaTheme="majorEastAsia" w:hAnsiTheme="majorEastAsia" w:cs="Arial"/>
                <w:kern w:val="0"/>
                <w:sz w:val="20"/>
                <w:szCs w:val="20"/>
              </w:rPr>
            </w:pPr>
            <w:r w:rsidRPr="00174008">
              <w:rPr>
                <w:rFonts w:asciiTheme="majorEastAsia" w:eastAsiaTheme="majorEastAsia" w:hAnsiTheme="majorEastAsia" w:cs="Arial" w:hint="eastAsia"/>
                <w:kern w:val="0"/>
                <w:sz w:val="20"/>
                <w:szCs w:val="20"/>
              </w:rPr>
              <w:t>同比（%）</w:t>
            </w:r>
          </w:p>
        </w:tc>
      </w:tr>
      <w:tr w:rsidR="003D5A9F" w:rsidRPr="00174008" w:rsidTr="003D5A9F">
        <w:trPr>
          <w:trHeight w:val="240"/>
        </w:trPr>
        <w:tc>
          <w:tcPr>
            <w:tcW w:w="17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A9F" w:rsidRPr="00174008" w:rsidRDefault="003D5A9F" w:rsidP="00E96849">
            <w:pPr>
              <w:widowControl/>
              <w:jc w:val="center"/>
              <w:rPr>
                <w:rFonts w:asciiTheme="majorEastAsia" w:eastAsiaTheme="majorEastAsia" w:hAnsiTheme="majorEastAsia" w:cs="Arial"/>
                <w:kern w:val="0"/>
                <w:sz w:val="20"/>
                <w:szCs w:val="20"/>
              </w:rPr>
            </w:pPr>
            <w:r w:rsidRPr="00174008">
              <w:rPr>
                <w:rFonts w:asciiTheme="majorEastAsia" w:eastAsiaTheme="majorEastAsia" w:hAnsiTheme="majorEastAsia" w:cs="Arial" w:hint="eastAsia"/>
                <w:kern w:val="0"/>
                <w:sz w:val="20"/>
                <w:szCs w:val="20"/>
              </w:rPr>
              <w:t>刑事案件</w:t>
            </w:r>
          </w:p>
        </w:tc>
        <w:tc>
          <w:tcPr>
            <w:tcW w:w="1775" w:type="dxa"/>
            <w:tcBorders>
              <w:top w:val="single" w:sz="4" w:space="0" w:color="auto"/>
              <w:left w:val="nil"/>
              <w:bottom w:val="single" w:sz="4" w:space="0" w:color="auto"/>
              <w:right w:val="single" w:sz="4" w:space="0" w:color="auto"/>
            </w:tcBorders>
            <w:shd w:val="clear" w:color="auto" w:fill="auto"/>
            <w:noWrap/>
            <w:vAlign w:val="center"/>
            <w:hideMark/>
          </w:tcPr>
          <w:p w:rsidR="003D5A9F" w:rsidRPr="00174008" w:rsidRDefault="003D5A9F" w:rsidP="003D5A9F">
            <w:pPr>
              <w:jc w:val="center"/>
              <w:rPr>
                <w:rFonts w:asciiTheme="majorEastAsia" w:eastAsiaTheme="majorEastAsia" w:hAnsiTheme="majorEastAsia" w:cs="Arial"/>
                <w:sz w:val="20"/>
                <w:szCs w:val="20"/>
              </w:rPr>
            </w:pPr>
            <w:r w:rsidRPr="00174008">
              <w:rPr>
                <w:rFonts w:asciiTheme="majorEastAsia" w:eastAsiaTheme="majorEastAsia" w:hAnsiTheme="majorEastAsia" w:cs="Arial"/>
                <w:sz w:val="20"/>
                <w:szCs w:val="20"/>
              </w:rPr>
              <w:t>54</w:t>
            </w:r>
          </w:p>
        </w:tc>
        <w:tc>
          <w:tcPr>
            <w:tcW w:w="1775" w:type="dxa"/>
            <w:tcBorders>
              <w:top w:val="single" w:sz="4" w:space="0" w:color="auto"/>
              <w:left w:val="nil"/>
              <w:bottom w:val="single" w:sz="4" w:space="0" w:color="auto"/>
              <w:right w:val="single" w:sz="4" w:space="0" w:color="auto"/>
            </w:tcBorders>
            <w:shd w:val="clear" w:color="auto" w:fill="auto"/>
            <w:noWrap/>
            <w:vAlign w:val="center"/>
            <w:hideMark/>
          </w:tcPr>
          <w:p w:rsidR="003D5A9F" w:rsidRPr="00174008" w:rsidRDefault="003D5A9F" w:rsidP="003D5A9F">
            <w:pPr>
              <w:jc w:val="center"/>
              <w:rPr>
                <w:rFonts w:asciiTheme="majorEastAsia" w:eastAsiaTheme="majorEastAsia" w:hAnsiTheme="majorEastAsia" w:cs="Arial"/>
                <w:sz w:val="20"/>
                <w:szCs w:val="20"/>
              </w:rPr>
            </w:pPr>
            <w:r w:rsidRPr="00174008">
              <w:rPr>
                <w:rFonts w:asciiTheme="majorEastAsia" w:eastAsiaTheme="majorEastAsia" w:hAnsiTheme="majorEastAsia" w:cs="Arial"/>
                <w:sz w:val="20"/>
                <w:szCs w:val="20"/>
              </w:rPr>
              <w:t>70</w:t>
            </w:r>
          </w:p>
        </w:tc>
        <w:tc>
          <w:tcPr>
            <w:tcW w:w="1775" w:type="dxa"/>
            <w:tcBorders>
              <w:top w:val="single" w:sz="4" w:space="0" w:color="auto"/>
              <w:left w:val="nil"/>
              <w:bottom w:val="single" w:sz="4" w:space="0" w:color="auto"/>
              <w:right w:val="single" w:sz="4" w:space="0" w:color="auto"/>
            </w:tcBorders>
            <w:shd w:val="clear" w:color="auto" w:fill="auto"/>
            <w:noWrap/>
            <w:vAlign w:val="center"/>
            <w:hideMark/>
          </w:tcPr>
          <w:p w:rsidR="003D5A9F" w:rsidRPr="00174008" w:rsidRDefault="003D5A9F" w:rsidP="003D5A9F">
            <w:pPr>
              <w:jc w:val="center"/>
              <w:rPr>
                <w:rFonts w:asciiTheme="majorEastAsia" w:eastAsiaTheme="majorEastAsia" w:hAnsiTheme="majorEastAsia" w:cs="Arial"/>
                <w:sz w:val="20"/>
                <w:szCs w:val="20"/>
              </w:rPr>
            </w:pPr>
            <w:r w:rsidRPr="00174008">
              <w:rPr>
                <w:rFonts w:asciiTheme="majorEastAsia" w:eastAsiaTheme="majorEastAsia" w:hAnsiTheme="majorEastAsia" w:cs="Arial"/>
                <w:sz w:val="20"/>
                <w:szCs w:val="20"/>
              </w:rPr>
              <w:t>-16</w:t>
            </w:r>
          </w:p>
        </w:tc>
        <w:tc>
          <w:tcPr>
            <w:tcW w:w="1859" w:type="dxa"/>
            <w:tcBorders>
              <w:top w:val="single" w:sz="4" w:space="0" w:color="auto"/>
              <w:left w:val="nil"/>
              <w:bottom w:val="single" w:sz="4" w:space="0" w:color="auto"/>
              <w:right w:val="single" w:sz="4" w:space="0" w:color="auto"/>
            </w:tcBorders>
            <w:shd w:val="clear" w:color="auto" w:fill="auto"/>
            <w:noWrap/>
            <w:vAlign w:val="center"/>
            <w:hideMark/>
          </w:tcPr>
          <w:p w:rsidR="003D5A9F" w:rsidRPr="00174008" w:rsidRDefault="003D5A9F" w:rsidP="003D5A9F">
            <w:pPr>
              <w:jc w:val="center"/>
              <w:rPr>
                <w:rFonts w:asciiTheme="majorEastAsia" w:eastAsiaTheme="majorEastAsia" w:hAnsiTheme="majorEastAsia" w:cs="Arial"/>
                <w:sz w:val="20"/>
                <w:szCs w:val="20"/>
              </w:rPr>
            </w:pPr>
            <w:r w:rsidRPr="00174008">
              <w:rPr>
                <w:rFonts w:asciiTheme="majorEastAsia" w:eastAsiaTheme="majorEastAsia" w:hAnsiTheme="majorEastAsia" w:cs="Arial"/>
                <w:sz w:val="20"/>
                <w:szCs w:val="20"/>
              </w:rPr>
              <w:t>-22.86%</w:t>
            </w:r>
          </w:p>
        </w:tc>
      </w:tr>
      <w:tr w:rsidR="003D5A9F" w:rsidRPr="00174008" w:rsidTr="003D5A9F">
        <w:trPr>
          <w:trHeight w:val="240"/>
        </w:trPr>
        <w:tc>
          <w:tcPr>
            <w:tcW w:w="1775" w:type="dxa"/>
            <w:tcBorders>
              <w:top w:val="nil"/>
              <w:left w:val="single" w:sz="4" w:space="0" w:color="auto"/>
              <w:bottom w:val="single" w:sz="4" w:space="0" w:color="auto"/>
              <w:right w:val="single" w:sz="4" w:space="0" w:color="auto"/>
            </w:tcBorders>
            <w:shd w:val="clear" w:color="auto" w:fill="auto"/>
            <w:noWrap/>
            <w:vAlign w:val="center"/>
            <w:hideMark/>
          </w:tcPr>
          <w:p w:rsidR="003D5A9F" w:rsidRPr="00174008" w:rsidRDefault="003D5A9F" w:rsidP="00E96849">
            <w:pPr>
              <w:widowControl/>
              <w:jc w:val="center"/>
              <w:rPr>
                <w:rFonts w:asciiTheme="majorEastAsia" w:eastAsiaTheme="majorEastAsia" w:hAnsiTheme="majorEastAsia" w:cs="Arial"/>
                <w:kern w:val="0"/>
                <w:sz w:val="20"/>
                <w:szCs w:val="20"/>
              </w:rPr>
            </w:pPr>
            <w:r w:rsidRPr="00174008">
              <w:rPr>
                <w:rFonts w:asciiTheme="majorEastAsia" w:eastAsiaTheme="majorEastAsia" w:hAnsiTheme="majorEastAsia" w:cs="Arial" w:hint="eastAsia"/>
                <w:kern w:val="0"/>
                <w:sz w:val="20"/>
                <w:szCs w:val="20"/>
              </w:rPr>
              <w:t>刑罚变更案件</w:t>
            </w:r>
          </w:p>
        </w:tc>
        <w:tc>
          <w:tcPr>
            <w:tcW w:w="1775" w:type="dxa"/>
            <w:tcBorders>
              <w:top w:val="nil"/>
              <w:left w:val="nil"/>
              <w:bottom w:val="single" w:sz="4" w:space="0" w:color="auto"/>
              <w:right w:val="single" w:sz="4" w:space="0" w:color="auto"/>
            </w:tcBorders>
            <w:shd w:val="clear" w:color="auto" w:fill="auto"/>
            <w:noWrap/>
            <w:vAlign w:val="center"/>
            <w:hideMark/>
          </w:tcPr>
          <w:p w:rsidR="003D5A9F" w:rsidRPr="00174008" w:rsidRDefault="003D5A9F" w:rsidP="003D5A9F">
            <w:pPr>
              <w:jc w:val="center"/>
              <w:rPr>
                <w:rFonts w:asciiTheme="majorEastAsia" w:eastAsiaTheme="majorEastAsia" w:hAnsiTheme="majorEastAsia" w:cs="Arial"/>
                <w:sz w:val="20"/>
                <w:szCs w:val="20"/>
              </w:rPr>
            </w:pPr>
            <w:r w:rsidRPr="00174008">
              <w:rPr>
                <w:rFonts w:asciiTheme="majorEastAsia" w:eastAsiaTheme="majorEastAsia" w:hAnsiTheme="majorEastAsia" w:cs="Arial"/>
                <w:sz w:val="20"/>
                <w:szCs w:val="20"/>
              </w:rPr>
              <w:t>3</w:t>
            </w:r>
          </w:p>
        </w:tc>
        <w:tc>
          <w:tcPr>
            <w:tcW w:w="1775" w:type="dxa"/>
            <w:tcBorders>
              <w:top w:val="nil"/>
              <w:left w:val="nil"/>
              <w:bottom w:val="single" w:sz="4" w:space="0" w:color="auto"/>
              <w:right w:val="single" w:sz="4" w:space="0" w:color="auto"/>
            </w:tcBorders>
            <w:shd w:val="clear" w:color="auto" w:fill="auto"/>
            <w:noWrap/>
            <w:vAlign w:val="center"/>
            <w:hideMark/>
          </w:tcPr>
          <w:p w:rsidR="003D5A9F" w:rsidRPr="00174008" w:rsidRDefault="003D5A9F" w:rsidP="003D5A9F">
            <w:pPr>
              <w:jc w:val="center"/>
              <w:rPr>
                <w:rFonts w:asciiTheme="majorEastAsia" w:eastAsiaTheme="majorEastAsia" w:hAnsiTheme="majorEastAsia" w:cs="Arial"/>
                <w:sz w:val="20"/>
                <w:szCs w:val="20"/>
              </w:rPr>
            </w:pPr>
            <w:r w:rsidRPr="00174008">
              <w:rPr>
                <w:rFonts w:asciiTheme="majorEastAsia" w:eastAsiaTheme="majorEastAsia" w:hAnsiTheme="majorEastAsia" w:cs="Arial"/>
                <w:sz w:val="20"/>
                <w:szCs w:val="20"/>
              </w:rPr>
              <w:t>2</w:t>
            </w:r>
          </w:p>
        </w:tc>
        <w:tc>
          <w:tcPr>
            <w:tcW w:w="1775" w:type="dxa"/>
            <w:tcBorders>
              <w:top w:val="nil"/>
              <w:left w:val="nil"/>
              <w:bottom w:val="single" w:sz="4" w:space="0" w:color="auto"/>
              <w:right w:val="single" w:sz="4" w:space="0" w:color="auto"/>
            </w:tcBorders>
            <w:shd w:val="clear" w:color="auto" w:fill="auto"/>
            <w:noWrap/>
            <w:vAlign w:val="center"/>
            <w:hideMark/>
          </w:tcPr>
          <w:p w:rsidR="003D5A9F" w:rsidRPr="00174008" w:rsidRDefault="003D5A9F" w:rsidP="003D5A9F">
            <w:pPr>
              <w:jc w:val="center"/>
              <w:rPr>
                <w:rFonts w:asciiTheme="majorEastAsia" w:eastAsiaTheme="majorEastAsia" w:hAnsiTheme="majorEastAsia" w:cs="Arial"/>
                <w:sz w:val="20"/>
                <w:szCs w:val="20"/>
              </w:rPr>
            </w:pPr>
            <w:r w:rsidRPr="00174008">
              <w:rPr>
                <w:rFonts w:asciiTheme="majorEastAsia" w:eastAsiaTheme="majorEastAsia" w:hAnsiTheme="majorEastAsia" w:cs="Arial"/>
                <w:sz w:val="20"/>
                <w:szCs w:val="20"/>
              </w:rPr>
              <w:t>1</w:t>
            </w:r>
          </w:p>
        </w:tc>
        <w:tc>
          <w:tcPr>
            <w:tcW w:w="1859" w:type="dxa"/>
            <w:tcBorders>
              <w:top w:val="nil"/>
              <w:left w:val="nil"/>
              <w:bottom w:val="single" w:sz="4" w:space="0" w:color="auto"/>
              <w:right w:val="single" w:sz="4" w:space="0" w:color="auto"/>
            </w:tcBorders>
            <w:shd w:val="clear" w:color="auto" w:fill="auto"/>
            <w:noWrap/>
            <w:vAlign w:val="center"/>
            <w:hideMark/>
          </w:tcPr>
          <w:p w:rsidR="003D5A9F" w:rsidRPr="00174008" w:rsidRDefault="003D5A9F" w:rsidP="003D5A9F">
            <w:pPr>
              <w:jc w:val="center"/>
              <w:rPr>
                <w:rFonts w:asciiTheme="majorEastAsia" w:eastAsiaTheme="majorEastAsia" w:hAnsiTheme="majorEastAsia" w:cs="Arial"/>
                <w:sz w:val="20"/>
                <w:szCs w:val="20"/>
              </w:rPr>
            </w:pPr>
            <w:r w:rsidRPr="00174008">
              <w:rPr>
                <w:rFonts w:asciiTheme="majorEastAsia" w:eastAsiaTheme="majorEastAsia" w:hAnsiTheme="majorEastAsia" w:cs="Arial"/>
                <w:sz w:val="20"/>
                <w:szCs w:val="20"/>
              </w:rPr>
              <w:t>50.00%</w:t>
            </w:r>
          </w:p>
        </w:tc>
      </w:tr>
      <w:tr w:rsidR="003D5A9F" w:rsidRPr="00174008" w:rsidTr="003D5A9F">
        <w:trPr>
          <w:trHeight w:val="240"/>
        </w:trPr>
        <w:tc>
          <w:tcPr>
            <w:tcW w:w="1775" w:type="dxa"/>
            <w:tcBorders>
              <w:top w:val="nil"/>
              <w:left w:val="single" w:sz="4" w:space="0" w:color="auto"/>
              <w:bottom w:val="single" w:sz="4" w:space="0" w:color="auto"/>
              <w:right w:val="single" w:sz="4" w:space="0" w:color="auto"/>
            </w:tcBorders>
            <w:shd w:val="clear" w:color="auto" w:fill="auto"/>
            <w:noWrap/>
            <w:vAlign w:val="center"/>
            <w:hideMark/>
          </w:tcPr>
          <w:p w:rsidR="003D5A9F" w:rsidRPr="00174008" w:rsidRDefault="003D5A9F" w:rsidP="00E96849">
            <w:pPr>
              <w:widowControl/>
              <w:jc w:val="center"/>
              <w:rPr>
                <w:rFonts w:asciiTheme="majorEastAsia" w:eastAsiaTheme="majorEastAsia" w:hAnsiTheme="majorEastAsia" w:cs="Arial"/>
                <w:kern w:val="0"/>
                <w:sz w:val="20"/>
                <w:szCs w:val="20"/>
              </w:rPr>
            </w:pPr>
            <w:r w:rsidRPr="00174008">
              <w:rPr>
                <w:rFonts w:asciiTheme="majorEastAsia" w:eastAsiaTheme="majorEastAsia" w:hAnsiTheme="majorEastAsia" w:cs="Arial" w:hint="eastAsia"/>
                <w:kern w:val="0"/>
                <w:sz w:val="20"/>
                <w:szCs w:val="20"/>
              </w:rPr>
              <w:t>民事案件</w:t>
            </w:r>
          </w:p>
        </w:tc>
        <w:tc>
          <w:tcPr>
            <w:tcW w:w="1775" w:type="dxa"/>
            <w:tcBorders>
              <w:top w:val="nil"/>
              <w:left w:val="nil"/>
              <w:bottom w:val="single" w:sz="4" w:space="0" w:color="auto"/>
              <w:right w:val="single" w:sz="4" w:space="0" w:color="auto"/>
            </w:tcBorders>
            <w:shd w:val="clear" w:color="auto" w:fill="auto"/>
            <w:noWrap/>
            <w:vAlign w:val="center"/>
            <w:hideMark/>
          </w:tcPr>
          <w:p w:rsidR="003D5A9F" w:rsidRPr="00174008" w:rsidRDefault="003D5A9F" w:rsidP="003D5A9F">
            <w:pPr>
              <w:jc w:val="center"/>
              <w:rPr>
                <w:rFonts w:asciiTheme="majorEastAsia" w:eastAsiaTheme="majorEastAsia" w:hAnsiTheme="majorEastAsia" w:cs="Arial"/>
                <w:sz w:val="20"/>
                <w:szCs w:val="20"/>
              </w:rPr>
            </w:pPr>
            <w:r w:rsidRPr="00174008">
              <w:rPr>
                <w:rFonts w:asciiTheme="majorEastAsia" w:eastAsiaTheme="majorEastAsia" w:hAnsiTheme="majorEastAsia" w:cs="Arial"/>
                <w:sz w:val="20"/>
                <w:szCs w:val="20"/>
              </w:rPr>
              <w:t>620</w:t>
            </w:r>
          </w:p>
        </w:tc>
        <w:tc>
          <w:tcPr>
            <w:tcW w:w="1775" w:type="dxa"/>
            <w:tcBorders>
              <w:top w:val="nil"/>
              <w:left w:val="nil"/>
              <w:bottom w:val="single" w:sz="4" w:space="0" w:color="auto"/>
              <w:right w:val="single" w:sz="4" w:space="0" w:color="auto"/>
            </w:tcBorders>
            <w:shd w:val="clear" w:color="auto" w:fill="auto"/>
            <w:noWrap/>
            <w:vAlign w:val="center"/>
            <w:hideMark/>
          </w:tcPr>
          <w:p w:rsidR="003D5A9F" w:rsidRPr="00174008" w:rsidRDefault="003D5A9F" w:rsidP="003D5A9F">
            <w:pPr>
              <w:jc w:val="center"/>
              <w:rPr>
                <w:rFonts w:asciiTheme="majorEastAsia" w:eastAsiaTheme="majorEastAsia" w:hAnsiTheme="majorEastAsia" w:cs="Arial"/>
                <w:sz w:val="20"/>
                <w:szCs w:val="20"/>
              </w:rPr>
            </w:pPr>
            <w:r w:rsidRPr="00174008">
              <w:rPr>
                <w:rFonts w:asciiTheme="majorEastAsia" w:eastAsiaTheme="majorEastAsia" w:hAnsiTheme="majorEastAsia" w:cs="Arial"/>
                <w:sz w:val="20"/>
                <w:szCs w:val="20"/>
              </w:rPr>
              <w:t>474</w:t>
            </w:r>
          </w:p>
        </w:tc>
        <w:tc>
          <w:tcPr>
            <w:tcW w:w="1775" w:type="dxa"/>
            <w:tcBorders>
              <w:top w:val="nil"/>
              <w:left w:val="nil"/>
              <w:bottom w:val="single" w:sz="4" w:space="0" w:color="auto"/>
              <w:right w:val="single" w:sz="4" w:space="0" w:color="auto"/>
            </w:tcBorders>
            <w:shd w:val="clear" w:color="auto" w:fill="auto"/>
            <w:noWrap/>
            <w:vAlign w:val="center"/>
            <w:hideMark/>
          </w:tcPr>
          <w:p w:rsidR="003D5A9F" w:rsidRPr="00174008" w:rsidRDefault="003D5A9F" w:rsidP="003D5A9F">
            <w:pPr>
              <w:jc w:val="center"/>
              <w:rPr>
                <w:rFonts w:asciiTheme="majorEastAsia" w:eastAsiaTheme="majorEastAsia" w:hAnsiTheme="majorEastAsia" w:cs="Arial"/>
                <w:sz w:val="20"/>
                <w:szCs w:val="20"/>
              </w:rPr>
            </w:pPr>
            <w:r w:rsidRPr="00174008">
              <w:rPr>
                <w:rFonts w:asciiTheme="majorEastAsia" w:eastAsiaTheme="majorEastAsia" w:hAnsiTheme="majorEastAsia" w:cs="Arial"/>
                <w:sz w:val="20"/>
                <w:szCs w:val="20"/>
              </w:rPr>
              <w:t>146</w:t>
            </w:r>
          </w:p>
        </w:tc>
        <w:tc>
          <w:tcPr>
            <w:tcW w:w="1859" w:type="dxa"/>
            <w:tcBorders>
              <w:top w:val="nil"/>
              <w:left w:val="nil"/>
              <w:bottom w:val="single" w:sz="4" w:space="0" w:color="auto"/>
              <w:right w:val="single" w:sz="4" w:space="0" w:color="auto"/>
            </w:tcBorders>
            <w:shd w:val="clear" w:color="auto" w:fill="auto"/>
            <w:noWrap/>
            <w:vAlign w:val="center"/>
            <w:hideMark/>
          </w:tcPr>
          <w:p w:rsidR="003D5A9F" w:rsidRPr="00174008" w:rsidRDefault="003D5A9F" w:rsidP="003D5A9F">
            <w:pPr>
              <w:jc w:val="center"/>
              <w:rPr>
                <w:rFonts w:asciiTheme="majorEastAsia" w:eastAsiaTheme="majorEastAsia" w:hAnsiTheme="majorEastAsia" w:cs="Arial"/>
                <w:sz w:val="20"/>
                <w:szCs w:val="20"/>
              </w:rPr>
            </w:pPr>
            <w:r w:rsidRPr="00174008">
              <w:rPr>
                <w:rFonts w:asciiTheme="majorEastAsia" w:eastAsiaTheme="majorEastAsia" w:hAnsiTheme="majorEastAsia" w:cs="Arial"/>
                <w:sz w:val="20"/>
                <w:szCs w:val="20"/>
              </w:rPr>
              <w:t>30.80%</w:t>
            </w:r>
          </w:p>
        </w:tc>
      </w:tr>
      <w:tr w:rsidR="003D5A9F" w:rsidRPr="00174008" w:rsidTr="003D5A9F">
        <w:trPr>
          <w:trHeight w:val="240"/>
        </w:trPr>
        <w:tc>
          <w:tcPr>
            <w:tcW w:w="1775" w:type="dxa"/>
            <w:tcBorders>
              <w:top w:val="nil"/>
              <w:left w:val="single" w:sz="4" w:space="0" w:color="auto"/>
              <w:bottom w:val="single" w:sz="4" w:space="0" w:color="auto"/>
              <w:right w:val="single" w:sz="4" w:space="0" w:color="auto"/>
            </w:tcBorders>
            <w:shd w:val="clear" w:color="auto" w:fill="auto"/>
            <w:noWrap/>
            <w:vAlign w:val="center"/>
            <w:hideMark/>
          </w:tcPr>
          <w:p w:rsidR="003D5A9F" w:rsidRPr="00174008" w:rsidRDefault="003D5A9F" w:rsidP="00E96849">
            <w:pPr>
              <w:widowControl/>
              <w:jc w:val="center"/>
              <w:rPr>
                <w:rFonts w:asciiTheme="majorEastAsia" w:eastAsiaTheme="majorEastAsia" w:hAnsiTheme="majorEastAsia" w:cs="Arial"/>
                <w:kern w:val="0"/>
                <w:sz w:val="20"/>
                <w:szCs w:val="20"/>
              </w:rPr>
            </w:pPr>
            <w:r w:rsidRPr="00174008">
              <w:rPr>
                <w:rFonts w:asciiTheme="majorEastAsia" w:eastAsiaTheme="majorEastAsia" w:hAnsiTheme="majorEastAsia" w:cs="Arial" w:hint="eastAsia"/>
                <w:kern w:val="0"/>
                <w:sz w:val="20"/>
                <w:szCs w:val="20"/>
              </w:rPr>
              <w:t>行政案件</w:t>
            </w:r>
          </w:p>
        </w:tc>
        <w:tc>
          <w:tcPr>
            <w:tcW w:w="1775" w:type="dxa"/>
            <w:tcBorders>
              <w:top w:val="nil"/>
              <w:left w:val="nil"/>
              <w:bottom w:val="single" w:sz="4" w:space="0" w:color="auto"/>
              <w:right w:val="single" w:sz="4" w:space="0" w:color="auto"/>
            </w:tcBorders>
            <w:shd w:val="clear" w:color="auto" w:fill="auto"/>
            <w:noWrap/>
            <w:vAlign w:val="center"/>
            <w:hideMark/>
          </w:tcPr>
          <w:p w:rsidR="003D5A9F" w:rsidRPr="00174008" w:rsidRDefault="003D5A9F" w:rsidP="003D5A9F">
            <w:pPr>
              <w:jc w:val="center"/>
              <w:rPr>
                <w:rFonts w:asciiTheme="majorEastAsia" w:eastAsiaTheme="majorEastAsia" w:hAnsiTheme="majorEastAsia" w:cs="Arial"/>
                <w:sz w:val="20"/>
                <w:szCs w:val="20"/>
              </w:rPr>
            </w:pPr>
            <w:r w:rsidRPr="00174008">
              <w:rPr>
                <w:rFonts w:asciiTheme="majorEastAsia" w:eastAsiaTheme="majorEastAsia" w:hAnsiTheme="majorEastAsia" w:cs="Arial"/>
                <w:sz w:val="20"/>
                <w:szCs w:val="20"/>
              </w:rPr>
              <w:t>22</w:t>
            </w:r>
          </w:p>
        </w:tc>
        <w:tc>
          <w:tcPr>
            <w:tcW w:w="1775" w:type="dxa"/>
            <w:tcBorders>
              <w:top w:val="nil"/>
              <w:left w:val="nil"/>
              <w:bottom w:val="single" w:sz="4" w:space="0" w:color="auto"/>
              <w:right w:val="single" w:sz="4" w:space="0" w:color="auto"/>
            </w:tcBorders>
            <w:shd w:val="clear" w:color="auto" w:fill="auto"/>
            <w:noWrap/>
            <w:vAlign w:val="center"/>
            <w:hideMark/>
          </w:tcPr>
          <w:p w:rsidR="003D5A9F" w:rsidRPr="00174008" w:rsidRDefault="003D5A9F" w:rsidP="003D5A9F">
            <w:pPr>
              <w:jc w:val="center"/>
              <w:rPr>
                <w:rFonts w:asciiTheme="majorEastAsia" w:eastAsiaTheme="majorEastAsia" w:hAnsiTheme="majorEastAsia" w:cs="Arial"/>
                <w:sz w:val="20"/>
                <w:szCs w:val="20"/>
              </w:rPr>
            </w:pPr>
            <w:r w:rsidRPr="00174008">
              <w:rPr>
                <w:rFonts w:asciiTheme="majorEastAsia" w:eastAsiaTheme="majorEastAsia" w:hAnsiTheme="majorEastAsia" w:cs="Arial"/>
                <w:sz w:val="20"/>
                <w:szCs w:val="20"/>
              </w:rPr>
              <w:t>15</w:t>
            </w:r>
          </w:p>
        </w:tc>
        <w:tc>
          <w:tcPr>
            <w:tcW w:w="1775" w:type="dxa"/>
            <w:tcBorders>
              <w:top w:val="nil"/>
              <w:left w:val="nil"/>
              <w:bottom w:val="single" w:sz="4" w:space="0" w:color="auto"/>
              <w:right w:val="single" w:sz="4" w:space="0" w:color="auto"/>
            </w:tcBorders>
            <w:shd w:val="clear" w:color="auto" w:fill="auto"/>
            <w:noWrap/>
            <w:vAlign w:val="center"/>
            <w:hideMark/>
          </w:tcPr>
          <w:p w:rsidR="003D5A9F" w:rsidRPr="00174008" w:rsidRDefault="003D5A9F" w:rsidP="003D5A9F">
            <w:pPr>
              <w:jc w:val="center"/>
              <w:rPr>
                <w:rFonts w:asciiTheme="majorEastAsia" w:eastAsiaTheme="majorEastAsia" w:hAnsiTheme="majorEastAsia" w:cs="Arial"/>
                <w:sz w:val="20"/>
                <w:szCs w:val="20"/>
              </w:rPr>
            </w:pPr>
            <w:r w:rsidRPr="00174008">
              <w:rPr>
                <w:rFonts w:asciiTheme="majorEastAsia" w:eastAsiaTheme="majorEastAsia" w:hAnsiTheme="majorEastAsia" w:cs="Arial"/>
                <w:sz w:val="20"/>
                <w:szCs w:val="20"/>
              </w:rPr>
              <w:t>7</w:t>
            </w:r>
          </w:p>
        </w:tc>
        <w:tc>
          <w:tcPr>
            <w:tcW w:w="1859" w:type="dxa"/>
            <w:tcBorders>
              <w:top w:val="nil"/>
              <w:left w:val="nil"/>
              <w:bottom w:val="single" w:sz="4" w:space="0" w:color="auto"/>
              <w:right w:val="single" w:sz="4" w:space="0" w:color="auto"/>
            </w:tcBorders>
            <w:shd w:val="clear" w:color="auto" w:fill="auto"/>
            <w:noWrap/>
            <w:vAlign w:val="center"/>
            <w:hideMark/>
          </w:tcPr>
          <w:p w:rsidR="003D5A9F" w:rsidRPr="00174008" w:rsidRDefault="003D5A9F" w:rsidP="003D5A9F">
            <w:pPr>
              <w:jc w:val="center"/>
              <w:rPr>
                <w:rFonts w:asciiTheme="majorEastAsia" w:eastAsiaTheme="majorEastAsia" w:hAnsiTheme="majorEastAsia" w:cs="Arial"/>
                <w:sz w:val="20"/>
                <w:szCs w:val="20"/>
              </w:rPr>
            </w:pPr>
            <w:r w:rsidRPr="00174008">
              <w:rPr>
                <w:rFonts w:asciiTheme="majorEastAsia" w:eastAsiaTheme="majorEastAsia" w:hAnsiTheme="majorEastAsia" w:cs="Arial"/>
                <w:sz w:val="20"/>
                <w:szCs w:val="20"/>
              </w:rPr>
              <w:t>46.67%</w:t>
            </w:r>
          </w:p>
        </w:tc>
      </w:tr>
      <w:tr w:rsidR="003D5A9F" w:rsidRPr="00174008" w:rsidTr="003D5A9F">
        <w:trPr>
          <w:trHeight w:val="240"/>
        </w:trPr>
        <w:tc>
          <w:tcPr>
            <w:tcW w:w="1775" w:type="dxa"/>
            <w:tcBorders>
              <w:top w:val="nil"/>
              <w:left w:val="single" w:sz="4" w:space="0" w:color="auto"/>
              <w:bottom w:val="single" w:sz="4" w:space="0" w:color="auto"/>
              <w:right w:val="single" w:sz="4" w:space="0" w:color="auto"/>
            </w:tcBorders>
            <w:shd w:val="clear" w:color="auto" w:fill="auto"/>
            <w:noWrap/>
            <w:vAlign w:val="center"/>
            <w:hideMark/>
          </w:tcPr>
          <w:p w:rsidR="003D5A9F" w:rsidRPr="00174008" w:rsidRDefault="003D5A9F" w:rsidP="00E96849">
            <w:pPr>
              <w:widowControl/>
              <w:jc w:val="center"/>
              <w:rPr>
                <w:rFonts w:asciiTheme="majorEastAsia" w:eastAsiaTheme="majorEastAsia" w:hAnsiTheme="majorEastAsia" w:cs="Arial"/>
                <w:kern w:val="0"/>
                <w:sz w:val="20"/>
                <w:szCs w:val="20"/>
              </w:rPr>
            </w:pPr>
            <w:r w:rsidRPr="00174008">
              <w:rPr>
                <w:rFonts w:asciiTheme="majorEastAsia" w:eastAsiaTheme="majorEastAsia" w:hAnsiTheme="majorEastAsia" w:cs="Arial" w:hint="eastAsia"/>
                <w:kern w:val="0"/>
                <w:sz w:val="20"/>
                <w:szCs w:val="20"/>
              </w:rPr>
              <w:t>赔偿案件</w:t>
            </w:r>
          </w:p>
        </w:tc>
        <w:tc>
          <w:tcPr>
            <w:tcW w:w="1775" w:type="dxa"/>
            <w:tcBorders>
              <w:top w:val="nil"/>
              <w:left w:val="nil"/>
              <w:bottom w:val="single" w:sz="4" w:space="0" w:color="auto"/>
              <w:right w:val="single" w:sz="4" w:space="0" w:color="auto"/>
            </w:tcBorders>
            <w:shd w:val="clear" w:color="auto" w:fill="auto"/>
            <w:noWrap/>
            <w:vAlign w:val="center"/>
            <w:hideMark/>
          </w:tcPr>
          <w:p w:rsidR="003D5A9F" w:rsidRPr="00174008" w:rsidRDefault="003D5A9F" w:rsidP="003D5A9F">
            <w:pPr>
              <w:jc w:val="center"/>
              <w:rPr>
                <w:rFonts w:asciiTheme="majorEastAsia" w:eastAsiaTheme="majorEastAsia" w:hAnsiTheme="majorEastAsia" w:cs="Arial"/>
                <w:sz w:val="20"/>
                <w:szCs w:val="20"/>
              </w:rPr>
            </w:pPr>
            <w:r w:rsidRPr="00174008">
              <w:rPr>
                <w:rFonts w:asciiTheme="majorEastAsia" w:eastAsiaTheme="majorEastAsia" w:hAnsiTheme="majorEastAsia" w:cs="Arial"/>
                <w:sz w:val="20"/>
                <w:szCs w:val="20"/>
              </w:rPr>
              <w:t>0</w:t>
            </w:r>
          </w:p>
        </w:tc>
        <w:tc>
          <w:tcPr>
            <w:tcW w:w="1775" w:type="dxa"/>
            <w:tcBorders>
              <w:top w:val="nil"/>
              <w:left w:val="nil"/>
              <w:bottom w:val="single" w:sz="4" w:space="0" w:color="auto"/>
              <w:right w:val="single" w:sz="4" w:space="0" w:color="auto"/>
            </w:tcBorders>
            <w:shd w:val="clear" w:color="auto" w:fill="auto"/>
            <w:noWrap/>
            <w:vAlign w:val="center"/>
            <w:hideMark/>
          </w:tcPr>
          <w:p w:rsidR="003D5A9F" w:rsidRPr="00174008" w:rsidRDefault="003D5A9F" w:rsidP="003D5A9F">
            <w:pPr>
              <w:jc w:val="center"/>
              <w:rPr>
                <w:rFonts w:asciiTheme="majorEastAsia" w:eastAsiaTheme="majorEastAsia" w:hAnsiTheme="majorEastAsia" w:cs="Arial"/>
                <w:sz w:val="20"/>
                <w:szCs w:val="20"/>
              </w:rPr>
            </w:pPr>
            <w:r w:rsidRPr="00174008">
              <w:rPr>
                <w:rFonts w:asciiTheme="majorEastAsia" w:eastAsiaTheme="majorEastAsia" w:hAnsiTheme="majorEastAsia" w:cs="Arial"/>
                <w:sz w:val="20"/>
                <w:szCs w:val="20"/>
              </w:rPr>
              <w:t>0</w:t>
            </w:r>
          </w:p>
        </w:tc>
        <w:tc>
          <w:tcPr>
            <w:tcW w:w="1775" w:type="dxa"/>
            <w:tcBorders>
              <w:top w:val="nil"/>
              <w:left w:val="nil"/>
              <w:bottom w:val="single" w:sz="4" w:space="0" w:color="auto"/>
              <w:right w:val="single" w:sz="4" w:space="0" w:color="auto"/>
            </w:tcBorders>
            <w:shd w:val="clear" w:color="auto" w:fill="auto"/>
            <w:noWrap/>
            <w:vAlign w:val="center"/>
            <w:hideMark/>
          </w:tcPr>
          <w:p w:rsidR="003D5A9F" w:rsidRPr="00174008" w:rsidRDefault="003D5A9F" w:rsidP="003D5A9F">
            <w:pPr>
              <w:jc w:val="center"/>
              <w:rPr>
                <w:rFonts w:asciiTheme="majorEastAsia" w:eastAsiaTheme="majorEastAsia" w:hAnsiTheme="majorEastAsia" w:cs="Arial"/>
                <w:sz w:val="20"/>
                <w:szCs w:val="20"/>
              </w:rPr>
            </w:pPr>
            <w:r w:rsidRPr="00174008">
              <w:rPr>
                <w:rFonts w:asciiTheme="majorEastAsia" w:eastAsiaTheme="majorEastAsia" w:hAnsiTheme="majorEastAsia" w:cs="Arial"/>
                <w:sz w:val="20"/>
                <w:szCs w:val="20"/>
              </w:rPr>
              <w:t>0</w:t>
            </w:r>
          </w:p>
        </w:tc>
        <w:tc>
          <w:tcPr>
            <w:tcW w:w="1859" w:type="dxa"/>
            <w:tcBorders>
              <w:top w:val="nil"/>
              <w:left w:val="nil"/>
              <w:bottom w:val="single" w:sz="4" w:space="0" w:color="auto"/>
              <w:right w:val="single" w:sz="4" w:space="0" w:color="auto"/>
            </w:tcBorders>
            <w:shd w:val="clear" w:color="auto" w:fill="auto"/>
            <w:noWrap/>
            <w:vAlign w:val="center"/>
            <w:hideMark/>
          </w:tcPr>
          <w:p w:rsidR="003D5A9F" w:rsidRPr="00174008" w:rsidRDefault="003D5A9F" w:rsidP="003D5A9F">
            <w:pPr>
              <w:jc w:val="center"/>
              <w:rPr>
                <w:rFonts w:asciiTheme="majorEastAsia" w:eastAsiaTheme="majorEastAsia" w:hAnsiTheme="majorEastAsia" w:cs="Arial"/>
                <w:sz w:val="20"/>
                <w:szCs w:val="20"/>
              </w:rPr>
            </w:pPr>
            <w:r w:rsidRPr="00174008">
              <w:rPr>
                <w:rFonts w:asciiTheme="majorEastAsia" w:eastAsiaTheme="majorEastAsia" w:hAnsiTheme="majorEastAsia" w:cs="Arial" w:hint="eastAsia"/>
                <w:sz w:val="20"/>
                <w:szCs w:val="20"/>
              </w:rPr>
              <w:t>--</w:t>
            </w:r>
          </w:p>
        </w:tc>
      </w:tr>
      <w:tr w:rsidR="003D5A9F" w:rsidRPr="00174008" w:rsidTr="003D5A9F">
        <w:trPr>
          <w:trHeight w:val="240"/>
        </w:trPr>
        <w:tc>
          <w:tcPr>
            <w:tcW w:w="1775" w:type="dxa"/>
            <w:tcBorders>
              <w:top w:val="nil"/>
              <w:left w:val="single" w:sz="4" w:space="0" w:color="auto"/>
              <w:bottom w:val="single" w:sz="4" w:space="0" w:color="auto"/>
              <w:right w:val="single" w:sz="4" w:space="0" w:color="auto"/>
            </w:tcBorders>
            <w:shd w:val="clear" w:color="auto" w:fill="auto"/>
            <w:noWrap/>
            <w:vAlign w:val="center"/>
            <w:hideMark/>
          </w:tcPr>
          <w:p w:rsidR="003D5A9F" w:rsidRPr="00174008" w:rsidRDefault="003D5A9F" w:rsidP="00E96849">
            <w:pPr>
              <w:widowControl/>
              <w:jc w:val="center"/>
              <w:rPr>
                <w:rFonts w:asciiTheme="majorEastAsia" w:eastAsiaTheme="majorEastAsia" w:hAnsiTheme="majorEastAsia" w:cs="Arial"/>
                <w:kern w:val="0"/>
                <w:sz w:val="20"/>
                <w:szCs w:val="20"/>
              </w:rPr>
            </w:pPr>
            <w:r w:rsidRPr="00174008">
              <w:rPr>
                <w:rFonts w:asciiTheme="majorEastAsia" w:eastAsiaTheme="majorEastAsia" w:hAnsiTheme="majorEastAsia" w:cs="Arial" w:hint="eastAsia"/>
                <w:kern w:val="0"/>
                <w:sz w:val="20"/>
                <w:szCs w:val="20"/>
              </w:rPr>
              <w:t>审查监督案件</w:t>
            </w:r>
          </w:p>
        </w:tc>
        <w:tc>
          <w:tcPr>
            <w:tcW w:w="1775" w:type="dxa"/>
            <w:tcBorders>
              <w:top w:val="nil"/>
              <w:left w:val="nil"/>
              <w:bottom w:val="single" w:sz="4" w:space="0" w:color="auto"/>
              <w:right w:val="single" w:sz="4" w:space="0" w:color="auto"/>
            </w:tcBorders>
            <w:shd w:val="clear" w:color="auto" w:fill="auto"/>
            <w:noWrap/>
            <w:vAlign w:val="center"/>
            <w:hideMark/>
          </w:tcPr>
          <w:p w:rsidR="003D5A9F" w:rsidRPr="00174008" w:rsidRDefault="003D5A9F" w:rsidP="003D5A9F">
            <w:pPr>
              <w:jc w:val="center"/>
              <w:rPr>
                <w:rFonts w:asciiTheme="majorEastAsia" w:eastAsiaTheme="majorEastAsia" w:hAnsiTheme="majorEastAsia" w:cs="Arial"/>
                <w:sz w:val="20"/>
                <w:szCs w:val="20"/>
              </w:rPr>
            </w:pPr>
            <w:r w:rsidRPr="00174008">
              <w:rPr>
                <w:rFonts w:asciiTheme="majorEastAsia" w:eastAsiaTheme="majorEastAsia" w:hAnsiTheme="majorEastAsia" w:cs="Arial"/>
                <w:sz w:val="20"/>
                <w:szCs w:val="20"/>
              </w:rPr>
              <w:t>2</w:t>
            </w:r>
          </w:p>
        </w:tc>
        <w:tc>
          <w:tcPr>
            <w:tcW w:w="1775" w:type="dxa"/>
            <w:tcBorders>
              <w:top w:val="nil"/>
              <w:left w:val="nil"/>
              <w:bottom w:val="single" w:sz="4" w:space="0" w:color="auto"/>
              <w:right w:val="single" w:sz="4" w:space="0" w:color="auto"/>
            </w:tcBorders>
            <w:shd w:val="clear" w:color="auto" w:fill="auto"/>
            <w:noWrap/>
            <w:vAlign w:val="center"/>
            <w:hideMark/>
          </w:tcPr>
          <w:p w:rsidR="003D5A9F" w:rsidRPr="00174008" w:rsidRDefault="003D5A9F" w:rsidP="003D5A9F">
            <w:pPr>
              <w:jc w:val="center"/>
              <w:rPr>
                <w:rFonts w:asciiTheme="majorEastAsia" w:eastAsiaTheme="majorEastAsia" w:hAnsiTheme="majorEastAsia" w:cs="Arial"/>
                <w:sz w:val="20"/>
                <w:szCs w:val="20"/>
              </w:rPr>
            </w:pPr>
            <w:r w:rsidRPr="00174008">
              <w:rPr>
                <w:rFonts w:asciiTheme="majorEastAsia" w:eastAsiaTheme="majorEastAsia" w:hAnsiTheme="majorEastAsia" w:cs="Arial"/>
                <w:sz w:val="20"/>
                <w:szCs w:val="20"/>
              </w:rPr>
              <w:t>3</w:t>
            </w:r>
          </w:p>
        </w:tc>
        <w:tc>
          <w:tcPr>
            <w:tcW w:w="1775" w:type="dxa"/>
            <w:tcBorders>
              <w:top w:val="nil"/>
              <w:left w:val="nil"/>
              <w:bottom w:val="single" w:sz="4" w:space="0" w:color="auto"/>
              <w:right w:val="single" w:sz="4" w:space="0" w:color="auto"/>
            </w:tcBorders>
            <w:shd w:val="clear" w:color="auto" w:fill="auto"/>
            <w:noWrap/>
            <w:vAlign w:val="center"/>
            <w:hideMark/>
          </w:tcPr>
          <w:p w:rsidR="003D5A9F" w:rsidRPr="00174008" w:rsidRDefault="003D5A9F" w:rsidP="003D5A9F">
            <w:pPr>
              <w:jc w:val="center"/>
              <w:rPr>
                <w:rFonts w:asciiTheme="majorEastAsia" w:eastAsiaTheme="majorEastAsia" w:hAnsiTheme="majorEastAsia" w:cs="Arial"/>
                <w:sz w:val="20"/>
                <w:szCs w:val="20"/>
              </w:rPr>
            </w:pPr>
            <w:r w:rsidRPr="00174008">
              <w:rPr>
                <w:rFonts w:asciiTheme="majorEastAsia" w:eastAsiaTheme="majorEastAsia" w:hAnsiTheme="majorEastAsia" w:cs="Arial"/>
                <w:sz w:val="20"/>
                <w:szCs w:val="20"/>
              </w:rPr>
              <w:t>-1</w:t>
            </w:r>
          </w:p>
        </w:tc>
        <w:tc>
          <w:tcPr>
            <w:tcW w:w="1859" w:type="dxa"/>
            <w:tcBorders>
              <w:top w:val="nil"/>
              <w:left w:val="nil"/>
              <w:bottom w:val="single" w:sz="4" w:space="0" w:color="auto"/>
              <w:right w:val="single" w:sz="4" w:space="0" w:color="auto"/>
            </w:tcBorders>
            <w:shd w:val="clear" w:color="auto" w:fill="auto"/>
            <w:noWrap/>
            <w:vAlign w:val="center"/>
            <w:hideMark/>
          </w:tcPr>
          <w:p w:rsidR="003D5A9F" w:rsidRPr="00174008" w:rsidRDefault="003D5A9F" w:rsidP="003D5A9F">
            <w:pPr>
              <w:jc w:val="center"/>
              <w:rPr>
                <w:rFonts w:asciiTheme="majorEastAsia" w:eastAsiaTheme="majorEastAsia" w:hAnsiTheme="majorEastAsia" w:cs="Arial"/>
                <w:sz w:val="20"/>
                <w:szCs w:val="20"/>
              </w:rPr>
            </w:pPr>
            <w:r w:rsidRPr="00174008">
              <w:rPr>
                <w:rFonts w:asciiTheme="majorEastAsia" w:eastAsiaTheme="majorEastAsia" w:hAnsiTheme="majorEastAsia" w:cs="Arial"/>
                <w:sz w:val="20"/>
                <w:szCs w:val="20"/>
              </w:rPr>
              <w:t>-33.33%</w:t>
            </w:r>
          </w:p>
        </w:tc>
      </w:tr>
      <w:tr w:rsidR="003D5A9F" w:rsidRPr="00174008" w:rsidTr="003D5A9F">
        <w:trPr>
          <w:trHeight w:val="240"/>
        </w:trPr>
        <w:tc>
          <w:tcPr>
            <w:tcW w:w="1775" w:type="dxa"/>
            <w:tcBorders>
              <w:top w:val="nil"/>
              <w:left w:val="single" w:sz="4" w:space="0" w:color="auto"/>
              <w:bottom w:val="single" w:sz="4" w:space="0" w:color="auto"/>
              <w:right w:val="single" w:sz="4" w:space="0" w:color="auto"/>
            </w:tcBorders>
            <w:shd w:val="clear" w:color="auto" w:fill="auto"/>
            <w:noWrap/>
            <w:vAlign w:val="center"/>
            <w:hideMark/>
          </w:tcPr>
          <w:p w:rsidR="003D5A9F" w:rsidRPr="00174008" w:rsidRDefault="003D5A9F" w:rsidP="00E96849">
            <w:pPr>
              <w:widowControl/>
              <w:jc w:val="center"/>
              <w:rPr>
                <w:rFonts w:asciiTheme="majorEastAsia" w:eastAsiaTheme="majorEastAsia" w:hAnsiTheme="majorEastAsia" w:cs="Arial"/>
                <w:kern w:val="0"/>
                <w:sz w:val="20"/>
                <w:szCs w:val="20"/>
              </w:rPr>
            </w:pPr>
            <w:r w:rsidRPr="00174008">
              <w:rPr>
                <w:rFonts w:asciiTheme="majorEastAsia" w:eastAsiaTheme="majorEastAsia" w:hAnsiTheme="majorEastAsia" w:cs="Arial" w:hint="eastAsia"/>
                <w:kern w:val="0"/>
                <w:sz w:val="20"/>
                <w:szCs w:val="20"/>
              </w:rPr>
              <w:t>执行案件</w:t>
            </w:r>
          </w:p>
        </w:tc>
        <w:tc>
          <w:tcPr>
            <w:tcW w:w="1775" w:type="dxa"/>
            <w:tcBorders>
              <w:top w:val="nil"/>
              <w:left w:val="nil"/>
              <w:bottom w:val="single" w:sz="4" w:space="0" w:color="auto"/>
              <w:right w:val="single" w:sz="4" w:space="0" w:color="auto"/>
            </w:tcBorders>
            <w:shd w:val="clear" w:color="auto" w:fill="auto"/>
            <w:noWrap/>
            <w:vAlign w:val="center"/>
            <w:hideMark/>
          </w:tcPr>
          <w:p w:rsidR="003D5A9F" w:rsidRPr="00174008" w:rsidRDefault="003D5A9F" w:rsidP="003D5A9F">
            <w:pPr>
              <w:jc w:val="center"/>
              <w:rPr>
                <w:rFonts w:asciiTheme="majorEastAsia" w:eastAsiaTheme="majorEastAsia" w:hAnsiTheme="majorEastAsia" w:cs="Arial"/>
                <w:sz w:val="20"/>
                <w:szCs w:val="20"/>
              </w:rPr>
            </w:pPr>
            <w:r w:rsidRPr="00174008">
              <w:rPr>
                <w:rFonts w:asciiTheme="majorEastAsia" w:eastAsiaTheme="majorEastAsia" w:hAnsiTheme="majorEastAsia" w:cs="Arial"/>
                <w:sz w:val="20"/>
                <w:szCs w:val="20"/>
              </w:rPr>
              <w:t>250</w:t>
            </w:r>
          </w:p>
        </w:tc>
        <w:tc>
          <w:tcPr>
            <w:tcW w:w="1775" w:type="dxa"/>
            <w:tcBorders>
              <w:top w:val="nil"/>
              <w:left w:val="nil"/>
              <w:bottom w:val="single" w:sz="4" w:space="0" w:color="auto"/>
              <w:right w:val="single" w:sz="4" w:space="0" w:color="auto"/>
            </w:tcBorders>
            <w:shd w:val="clear" w:color="auto" w:fill="auto"/>
            <w:noWrap/>
            <w:vAlign w:val="center"/>
            <w:hideMark/>
          </w:tcPr>
          <w:p w:rsidR="003D5A9F" w:rsidRPr="00174008" w:rsidRDefault="003D5A9F" w:rsidP="003D5A9F">
            <w:pPr>
              <w:jc w:val="center"/>
              <w:rPr>
                <w:rFonts w:asciiTheme="majorEastAsia" w:eastAsiaTheme="majorEastAsia" w:hAnsiTheme="majorEastAsia" w:cs="Arial"/>
                <w:sz w:val="20"/>
                <w:szCs w:val="20"/>
              </w:rPr>
            </w:pPr>
            <w:r w:rsidRPr="00174008">
              <w:rPr>
                <w:rFonts w:asciiTheme="majorEastAsia" w:eastAsiaTheme="majorEastAsia" w:hAnsiTheme="majorEastAsia" w:cs="Arial"/>
                <w:sz w:val="20"/>
                <w:szCs w:val="20"/>
              </w:rPr>
              <w:t>172</w:t>
            </w:r>
          </w:p>
        </w:tc>
        <w:tc>
          <w:tcPr>
            <w:tcW w:w="1775" w:type="dxa"/>
            <w:tcBorders>
              <w:top w:val="nil"/>
              <w:left w:val="nil"/>
              <w:bottom w:val="single" w:sz="4" w:space="0" w:color="auto"/>
              <w:right w:val="single" w:sz="4" w:space="0" w:color="auto"/>
            </w:tcBorders>
            <w:shd w:val="clear" w:color="auto" w:fill="auto"/>
            <w:noWrap/>
            <w:vAlign w:val="center"/>
            <w:hideMark/>
          </w:tcPr>
          <w:p w:rsidR="003D5A9F" w:rsidRPr="00174008" w:rsidRDefault="003D5A9F" w:rsidP="003D5A9F">
            <w:pPr>
              <w:jc w:val="center"/>
              <w:rPr>
                <w:rFonts w:asciiTheme="majorEastAsia" w:eastAsiaTheme="majorEastAsia" w:hAnsiTheme="majorEastAsia" w:cs="Arial"/>
                <w:sz w:val="20"/>
                <w:szCs w:val="20"/>
              </w:rPr>
            </w:pPr>
            <w:r w:rsidRPr="00174008">
              <w:rPr>
                <w:rFonts w:asciiTheme="majorEastAsia" w:eastAsiaTheme="majorEastAsia" w:hAnsiTheme="majorEastAsia" w:cs="Arial"/>
                <w:sz w:val="20"/>
                <w:szCs w:val="20"/>
              </w:rPr>
              <w:t>78</w:t>
            </w:r>
          </w:p>
        </w:tc>
        <w:tc>
          <w:tcPr>
            <w:tcW w:w="1859" w:type="dxa"/>
            <w:tcBorders>
              <w:top w:val="nil"/>
              <w:left w:val="nil"/>
              <w:bottom w:val="single" w:sz="4" w:space="0" w:color="auto"/>
              <w:right w:val="single" w:sz="4" w:space="0" w:color="auto"/>
            </w:tcBorders>
            <w:shd w:val="clear" w:color="auto" w:fill="auto"/>
            <w:noWrap/>
            <w:vAlign w:val="center"/>
            <w:hideMark/>
          </w:tcPr>
          <w:p w:rsidR="003D5A9F" w:rsidRPr="00174008" w:rsidRDefault="003D5A9F" w:rsidP="003D5A9F">
            <w:pPr>
              <w:jc w:val="center"/>
              <w:rPr>
                <w:rFonts w:asciiTheme="majorEastAsia" w:eastAsiaTheme="majorEastAsia" w:hAnsiTheme="majorEastAsia" w:cs="Arial"/>
                <w:sz w:val="20"/>
                <w:szCs w:val="20"/>
              </w:rPr>
            </w:pPr>
            <w:r w:rsidRPr="00174008">
              <w:rPr>
                <w:rFonts w:asciiTheme="majorEastAsia" w:eastAsiaTheme="majorEastAsia" w:hAnsiTheme="majorEastAsia" w:cs="Arial"/>
                <w:sz w:val="20"/>
                <w:szCs w:val="20"/>
              </w:rPr>
              <w:t>45.35%</w:t>
            </w:r>
          </w:p>
        </w:tc>
      </w:tr>
    </w:tbl>
    <w:p w:rsidR="003E4E7D" w:rsidRPr="00174008" w:rsidRDefault="0080169B" w:rsidP="003E4E7D">
      <w:pPr>
        <w:tabs>
          <w:tab w:val="left" w:pos="800"/>
        </w:tabs>
        <w:snapToGrid w:val="0"/>
        <w:spacing w:line="360" w:lineRule="auto"/>
        <w:rPr>
          <w:rFonts w:asciiTheme="majorEastAsia" w:eastAsiaTheme="majorEastAsia" w:hAnsiTheme="majorEastAsia"/>
        </w:rPr>
      </w:pPr>
      <w:r w:rsidRPr="00174008">
        <w:rPr>
          <w:rFonts w:asciiTheme="majorEastAsia" w:eastAsiaTheme="majorEastAsia" w:hAnsiTheme="majorEastAsia"/>
          <w:noProof/>
        </w:rPr>
        <w:drawing>
          <wp:inline distT="0" distB="0" distL="0" distR="0">
            <wp:extent cx="6167755" cy="3821430"/>
            <wp:effectExtent l="0" t="0" r="0" b="0"/>
            <wp:docPr id="5" name="对象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F4896" w:rsidRPr="00174008" w:rsidRDefault="0080169B" w:rsidP="00976292">
      <w:pPr>
        <w:tabs>
          <w:tab w:val="left" w:pos="800"/>
        </w:tabs>
        <w:snapToGrid w:val="0"/>
        <w:spacing w:line="360" w:lineRule="auto"/>
        <w:rPr>
          <w:rFonts w:asciiTheme="majorEastAsia" w:eastAsiaTheme="majorEastAsia" w:hAnsiTheme="majorEastAsia"/>
          <w:color w:val="FF0000"/>
        </w:rPr>
      </w:pPr>
      <w:r w:rsidRPr="00174008">
        <w:rPr>
          <w:rFonts w:asciiTheme="majorEastAsia" w:eastAsiaTheme="majorEastAsia" w:hAnsiTheme="majorEastAsia"/>
          <w:noProof/>
          <w:color w:val="FF0000"/>
        </w:rPr>
        <w:lastRenderedPageBreak/>
        <w:drawing>
          <wp:inline distT="0" distB="0" distL="0" distR="0">
            <wp:extent cx="5546725" cy="3131185"/>
            <wp:effectExtent l="0" t="0" r="0" b="0"/>
            <wp:docPr id="6" name="对象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A94227" w:rsidRPr="00174008">
        <w:rPr>
          <w:rFonts w:asciiTheme="majorEastAsia" w:eastAsiaTheme="majorEastAsia" w:hAnsiTheme="majorEastAsia" w:hint="eastAsia"/>
          <w:color w:val="FF0000"/>
        </w:rPr>
        <w:t xml:space="preserve">    </w:t>
      </w:r>
      <w:r w:rsidR="00D70331" w:rsidRPr="00174008">
        <w:rPr>
          <w:rFonts w:asciiTheme="majorEastAsia" w:eastAsiaTheme="majorEastAsia" w:hAnsiTheme="majorEastAsia" w:hint="eastAsia"/>
          <w:b/>
        </w:rPr>
        <w:t>（</w:t>
      </w:r>
      <w:r w:rsidR="00857C81" w:rsidRPr="00174008">
        <w:rPr>
          <w:rFonts w:asciiTheme="majorEastAsia" w:eastAsiaTheme="majorEastAsia" w:hAnsiTheme="majorEastAsia" w:hint="eastAsia"/>
          <w:b/>
        </w:rPr>
        <w:t>四</w:t>
      </w:r>
      <w:r w:rsidR="00D70331" w:rsidRPr="00174008">
        <w:rPr>
          <w:rFonts w:asciiTheme="majorEastAsia" w:eastAsiaTheme="majorEastAsia" w:hAnsiTheme="majorEastAsia" w:hint="eastAsia"/>
          <w:b/>
        </w:rPr>
        <w:t>）未结案件情况</w:t>
      </w:r>
    </w:p>
    <w:p w:rsidR="00857C81" w:rsidRPr="00174008" w:rsidRDefault="00857C81" w:rsidP="00821A47">
      <w:pPr>
        <w:snapToGrid w:val="0"/>
        <w:spacing w:line="360" w:lineRule="auto"/>
        <w:ind w:firstLineChars="200" w:firstLine="643"/>
        <w:rPr>
          <w:rFonts w:asciiTheme="majorEastAsia" w:eastAsiaTheme="majorEastAsia" w:hAnsiTheme="majorEastAsia"/>
          <w:b/>
        </w:rPr>
      </w:pPr>
      <w:r w:rsidRPr="00174008">
        <w:rPr>
          <w:rFonts w:asciiTheme="majorEastAsia" w:eastAsiaTheme="majorEastAsia" w:hAnsiTheme="majorEastAsia" w:hint="eastAsia"/>
          <w:b/>
        </w:rPr>
        <w:t>1.总体情况</w:t>
      </w:r>
    </w:p>
    <w:p w:rsidR="00857C81" w:rsidRPr="00174008" w:rsidRDefault="00636A9E" w:rsidP="00B8710D">
      <w:pPr>
        <w:snapToGrid w:val="0"/>
        <w:spacing w:line="360" w:lineRule="auto"/>
        <w:ind w:firstLine="588"/>
        <w:jc w:val="left"/>
        <w:rPr>
          <w:rFonts w:asciiTheme="majorEastAsia" w:eastAsiaTheme="majorEastAsia" w:hAnsiTheme="majorEastAsia"/>
        </w:rPr>
      </w:pPr>
      <w:r w:rsidRPr="00174008">
        <w:rPr>
          <w:rFonts w:asciiTheme="majorEastAsia" w:eastAsiaTheme="majorEastAsia" w:hAnsiTheme="majorEastAsia" w:hint="eastAsia"/>
        </w:rPr>
        <w:t>2017年</w:t>
      </w:r>
      <w:r w:rsidR="003B6014" w:rsidRPr="00174008">
        <w:rPr>
          <w:rFonts w:asciiTheme="majorEastAsia" w:eastAsiaTheme="majorEastAsia" w:hAnsiTheme="majorEastAsia" w:hint="eastAsia"/>
        </w:rPr>
        <w:t>上半年</w:t>
      </w:r>
      <w:r w:rsidR="00857C81" w:rsidRPr="00174008">
        <w:rPr>
          <w:rFonts w:asciiTheme="majorEastAsia" w:eastAsiaTheme="majorEastAsia" w:hAnsiTheme="majorEastAsia" w:hint="eastAsia"/>
        </w:rPr>
        <w:t>和龙市人民法院未结案</w:t>
      </w:r>
      <w:r w:rsidR="00A76474" w:rsidRPr="00174008">
        <w:rPr>
          <w:rFonts w:asciiTheme="majorEastAsia" w:eastAsiaTheme="majorEastAsia" w:hAnsiTheme="majorEastAsia" w:hint="eastAsia"/>
        </w:rPr>
        <w:t>有所</w:t>
      </w:r>
      <w:r w:rsidR="007942BD" w:rsidRPr="00174008">
        <w:rPr>
          <w:rFonts w:asciiTheme="majorEastAsia" w:eastAsiaTheme="majorEastAsia" w:hAnsiTheme="majorEastAsia" w:hint="eastAsia"/>
        </w:rPr>
        <w:t>增加</w:t>
      </w:r>
      <w:r w:rsidR="00857C81" w:rsidRPr="00174008">
        <w:rPr>
          <w:rFonts w:asciiTheme="majorEastAsia" w:eastAsiaTheme="majorEastAsia" w:hAnsiTheme="majorEastAsia" w:hint="eastAsia"/>
        </w:rPr>
        <w:t>。未结案件</w:t>
      </w:r>
      <w:r w:rsidR="00EF73D7" w:rsidRPr="00174008">
        <w:rPr>
          <w:rFonts w:asciiTheme="majorEastAsia" w:eastAsiaTheme="majorEastAsia" w:hAnsiTheme="majorEastAsia" w:hint="eastAsia"/>
        </w:rPr>
        <w:t>49</w:t>
      </w:r>
      <w:r w:rsidR="00A76474" w:rsidRPr="00174008">
        <w:rPr>
          <w:rFonts w:asciiTheme="majorEastAsia" w:eastAsiaTheme="majorEastAsia" w:hAnsiTheme="majorEastAsia" w:hint="eastAsia"/>
        </w:rPr>
        <w:t>5件，同比增加</w:t>
      </w:r>
      <w:r w:rsidR="00EF73D7" w:rsidRPr="00174008">
        <w:rPr>
          <w:rFonts w:asciiTheme="majorEastAsia" w:eastAsiaTheme="majorEastAsia" w:hAnsiTheme="majorEastAsia" w:hint="eastAsia"/>
        </w:rPr>
        <w:t>10</w:t>
      </w:r>
      <w:r w:rsidR="00857C81" w:rsidRPr="00174008">
        <w:rPr>
          <w:rFonts w:asciiTheme="majorEastAsia" w:eastAsiaTheme="majorEastAsia" w:hAnsiTheme="majorEastAsia" w:hint="eastAsia"/>
        </w:rPr>
        <w:t>件，</w:t>
      </w:r>
      <w:r w:rsidR="00A76474" w:rsidRPr="00174008">
        <w:rPr>
          <w:rFonts w:asciiTheme="majorEastAsia" w:eastAsiaTheme="majorEastAsia" w:hAnsiTheme="majorEastAsia" w:hint="eastAsia"/>
        </w:rPr>
        <w:t>上升</w:t>
      </w:r>
      <w:r w:rsidR="00EF73D7" w:rsidRPr="00174008">
        <w:rPr>
          <w:rFonts w:asciiTheme="majorEastAsia" w:eastAsiaTheme="majorEastAsia" w:hAnsiTheme="majorEastAsia" w:hint="eastAsia"/>
        </w:rPr>
        <w:t>2.06</w:t>
      </w:r>
      <w:r w:rsidR="00857C81" w:rsidRPr="00174008">
        <w:rPr>
          <w:rFonts w:asciiTheme="majorEastAsia" w:eastAsiaTheme="majorEastAsia" w:hAnsiTheme="majorEastAsia" w:hint="eastAsia"/>
        </w:rPr>
        <w:t>%</w:t>
      </w:r>
      <w:r w:rsidR="007D085F" w:rsidRPr="00174008">
        <w:rPr>
          <w:rFonts w:asciiTheme="majorEastAsia" w:eastAsiaTheme="majorEastAsia" w:hAnsiTheme="majorEastAsia" w:hint="eastAsia"/>
        </w:rPr>
        <w:t>。</w:t>
      </w:r>
    </w:p>
    <w:p w:rsidR="00857C81" w:rsidRPr="00174008" w:rsidRDefault="00857C81" w:rsidP="00821A47">
      <w:pPr>
        <w:snapToGrid w:val="0"/>
        <w:spacing w:line="360" w:lineRule="auto"/>
        <w:ind w:firstLineChars="200" w:firstLine="643"/>
        <w:rPr>
          <w:rFonts w:asciiTheme="majorEastAsia" w:eastAsiaTheme="majorEastAsia" w:hAnsiTheme="majorEastAsia"/>
          <w:b/>
        </w:rPr>
      </w:pPr>
      <w:r w:rsidRPr="00174008">
        <w:rPr>
          <w:rFonts w:asciiTheme="majorEastAsia" w:eastAsiaTheme="majorEastAsia" w:hAnsiTheme="majorEastAsia" w:hint="eastAsia"/>
          <w:b/>
        </w:rPr>
        <w:t>2.案件类型</w:t>
      </w:r>
    </w:p>
    <w:tbl>
      <w:tblPr>
        <w:tblW w:w="9246" w:type="dxa"/>
        <w:tblInd w:w="94" w:type="dxa"/>
        <w:tblLook w:val="04A0"/>
      </w:tblPr>
      <w:tblGrid>
        <w:gridCol w:w="1832"/>
        <w:gridCol w:w="1832"/>
        <w:gridCol w:w="1832"/>
        <w:gridCol w:w="1832"/>
        <w:gridCol w:w="1918"/>
      </w:tblGrid>
      <w:tr w:rsidR="003B227E" w:rsidRPr="00174008" w:rsidTr="004624E8">
        <w:trPr>
          <w:trHeight w:val="291"/>
        </w:trPr>
        <w:tc>
          <w:tcPr>
            <w:tcW w:w="1832" w:type="dxa"/>
            <w:tcBorders>
              <w:top w:val="single" w:sz="4" w:space="0" w:color="auto"/>
              <w:left w:val="single" w:sz="4" w:space="0" w:color="auto"/>
              <w:bottom w:val="nil"/>
              <w:right w:val="single" w:sz="4" w:space="0" w:color="auto"/>
            </w:tcBorders>
            <w:shd w:val="clear" w:color="auto" w:fill="auto"/>
            <w:noWrap/>
            <w:vAlign w:val="center"/>
            <w:hideMark/>
          </w:tcPr>
          <w:p w:rsidR="003B227E" w:rsidRPr="00174008" w:rsidRDefault="003B227E" w:rsidP="008D59AF">
            <w:pPr>
              <w:widowControl/>
              <w:jc w:val="center"/>
              <w:rPr>
                <w:rFonts w:asciiTheme="majorEastAsia" w:eastAsiaTheme="majorEastAsia" w:hAnsiTheme="majorEastAsia" w:cs="Arial"/>
                <w:kern w:val="0"/>
                <w:sz w:val="20"/>
                <w:szCs w:val="20"/>
              </w:rPr>
            </w:pPr>
            <w:r w:rsidRPr="00174008">
              <w:rPr>
                <w:rFonts w:asciiTheme="majorEastAsia" w:eastAsiaTheme="majorEastAsia" w:hAnsiTheme="majorEastAsia" w:cs="Arial" w:hint="eastAsia"/>
                <w:kern w:val="0"/>
                <w:sz w:val="20"/>
                <w:szCs w:val="20"/>
              </w:rPr>
              <w:t>未结案件</w:t>
            </w:r>
          </w:p>
        </w:tc>
        <w:tc>
          <w:tcPr>
            <w:tcW w:w="1832" w:type="dxa"/>
            <w:tcBorders>
              <w:top w:val="single" w:sz="4" w:space="0" w:color="auto"/>
              <w:left w:val="nil"/>
              <w:bottom w:val="nil"/>
              <w:right w:val="single" w:sz="4" w:space="0" w:color="auto"/>
            </w:tcBorders>
            <w:shd w:val="clear" w:color="auto" w:fill="auto"/>
            <w:noWrap/>
            <w:vAlign w:val="center"/>
            <w:hideMark/>
          </w:tcPr>
          <w:p w:rsidR="003B227E" w:rsidRPr="00174008" w:rsidRDefault="003B227E" w:rsidP="008D59AF">
            <w:pPr>
              <w:widowControl/>
              <w:jc w:val="center"/>
              <w:rPr>
                <w:rFonts w:asciiTheme="majorEastAsia" w:eastAsiaTheme="majorEastAsia" w:hAnsiTheme="majorEastAsia" w:cs="Arial"/>
                <w:kern w:val="0"/>
                <w:sz w:val="20"/>
                <w:szCs w:val="20"/>
              </w:rPr>
            </w:pPr>
            <w:r w:rsidRPr="00174008">
              <w:rPr>
                <w:rFonts w:asciiTheme="majorEastAsia" w:eastAsiaTheme="majorEastAsia" w:hAnsiTheme="majorEastAsia" w:cs="Arial" w:hint="eastAsia"/>
                <w:kern w:val="0"/>
                <w:sz w:val="20"/>
                <w:szCs w:val="20"/>
              </w:rPr>
              <w:t>2017上半年</w:t>
            </w:r>
          </w:p>
        </w:tc>
        <w:tc>
          <w:tcPr>
            <w:tcW w:w="1832" w:type="dxa"/>
            <w:tcBorders>
              <w:top w:val="single" w:sz="4" w:space="0" w:color="auto"/>
              <w:left w:val="nil"/>
              <w:bottom w:val="nil"/>
              <w:right w:val="single" w:sz="4" w:space="0" w:color="auto"/>
            </w:tcBorders>
            <w:shd w:val="clear" w:color="auto" w:fill="auto"/>
            <w:noWrap/>
            <w:vAlign w:val="center"/>
            <w:hideMark/>
          </w:tcPr>
          <w:p w:rsidR="003B227E" w:rsidRPr="00174008" w:rsidRDefault="003B227E" w:rsidP="008D59AF">
            <w:pPr>
              <w:widowControl/>
              <w:jc w:val="center"/>
              <w:rPr>
                <w:rFonts w:asciiTheme="majorEastAsia" w:eastAsiaTheme="majorEastAsia" w:hAnsiTheme="majorEastAsia" w:cs="Arial"/>
                <w:kern w:val="0"/>
                <w:sz w:val="20"/>
                <w:szCs w:val="20"/>
              </w:rPr>
            </w:pPr>
            <w:r w:rsidRPr="00174008">
              <w:rPr>
                <w:rFonts w:asciiTheme="majorEastAsia" w:eastAsiaTheme="majorEastAsia" w:hAnsiTheme="majorEastAsia" w:cs="Arial"/>
                <w:kern w:val="0"/>
                <w:sz w:val="20"/>
                <w:szCs w:val="20"/>
              </w:rPr>
              <w:t>2016</w:t>
            </w:r>
            <w:r w:rsidRPr="00174008">
              <w:rPr>
                <w:rFonts w:asciiTheme="majorEastAsia" w:eastAsiaTheme="majorEastAsia" w:hAnsiTheme="majorEastAsia" w:cs="Arial" w:hint="eastAsia"/>
                <w:kern w:val="0"/>
                <w:sz w:val="20"/>
                <w:szCs w:val="20"/>
              </w:rPr>
              <w:t>上半年</w:t>
            </w:r>
          </w:p>
        </w:tc>
        <w:tc>
          <w:tcPr>
            <w:tcW w:w="1832" w:type="dxa"/>
            <w:tcBorders>
              <w:top w:val="single" w:sz="4" w:space="0" w:color="auto"/>
              <w:left w:val="single" w:sz="4" w:space="0" w:color="auto"/>
              <w:bottom w:val="nil"/>
              <w:right w:val="single" w:sz="4" w:space="0" w:color="auto"/>
            </w:tcBorders>
            <w:shd w:val="clear" w:color="auto" w:fill="auto"/>
            <w:noWrap/>
            <w:vAlign w:val="center"/>
            <w:hideMark/>
          </w:tcPr>
          <w:p w:rsidR="003B227E" w:rsidRPr="00174008" w:rsidRDefault="003B227E" w:rsidP="008D59AF">
            <w:pPr>
              <w:widowControl/>
              <w:jc w:val="center"/>
              <w:rPr>
                <w:rFonts w:asciiTheme="majorEastAsia" w:eastAsiaTheme="majorEastAsia" w:hAnsiTheme="majorEastAsia" w:cs="Arial"/>
                <w:kern w:val="0"/>
                <w:sz w:val="20"/>
                <w:szCs w:val="20"/>
              </w:rPr>
            </w:pPr>
            <w:r w:rsidRPr="00174008">
              <w:rPr>
                <w:rFonts w:asciiTheme="majorEastAsia" w:eastAsiaTheme="majorEastAsia" w:hAnsiTheme="majorEastAsia" w:cs="Arial" w:hint="eastAsia"/>
                <w:kern w:val="0"/>
                <w:sz w:val="20"/>
                <w:szCs w:val="20"/>
              </w:rPr>
              <w:t>同比（件）</w:t>
            </w:r>
          </w:p>
        </w:tc>
        <w:tc>
          <w:tcPr>
            <w:tcW w:w="1918" w:type="dxa"/>
            <w:tcBorders>
              <w:top w:val="single" w:sz="4" w:space="0" w:color="auto"/>
              <w:left w:val="single" w:sz="4" w:space="0" w:color="auto"/>
              <w:bottom w:val="nil"/>
              <w:right w:val="single" w:sz="4" w:space="0" w:color="auto"/>
            </w:tcBorders>
            <w:shd w:val="clear" w:color="auto" w:fill="auto"/>
            <w:noWrap/>
            <w:vAlign w:val="center"/>
            <w:hideMark/>
          </w:tcPr>
          <w:p w:rsidR="003B227E" w:rsidRPr="00174008" w:rsidRDefault="003B227E" w:rsidP="008D59AF">
            <w:pPr>
              <w:widowControl/>
              <w:jc w:val="center"/>
              <w:rPr>
                <w:rFonts w:asciiTheme="majorEastAsia" w:eastAsiaTheme="majorEastAsia" w:hAnsiTheme="majorEastAsia" w:cs="Arial"/>
                <w:kern w:val="0"/>
                <w:sz w:val="20"/>
                <w:szCs w:val="20"/>
              </w:rPr>
            </w:pPr>
            <w:r w:rsidRPr="00174008">
              <w:rPr>
                <w:rFonts w:asciiTheme="majorEastAsia" w:eastAsiaTheme="majorEastAsia" w:hAnsiTheme="majorEastAsia" w:cs="Arial" w:hint="eastAsia"/>
                <w:kern w:val="0"/>
                <w:sz w:val="20"/>
                <w:szCs w:val="20"/>
              </w:rPr>
              <w:t>同比（%）</w:t>
            </w:r>
          </w:p>
        </w:tc>
      </w:tr>
      <w:tr w:rsidR="00F65EA0" w:rsidRPr="00174008" w:rsidTr="004624E8">
        <w:trPr>
          <w:trHeight w:val="291"/>
        </w:trPr>
        <w:tc>
          <w:tcPr>
            <w:tcW w:w="1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EA0" w:rsidRPr="00174008" w:rsidRDefault="00F65EA0" w:rsidP="008D59AF">
            <w:pPr>
              <w:widowControl/>
              <w:jc w:val="center"/>
              <w:rPr>
                <w:rFonts w:asciiTheme="majorEastAsia" w:eastAsiaTheme="majorEastAsia" w:hAnsiTheme="majorEastAsia" w:cs="Arial"/>
                <w:kern w:val="0"/>
                <w:sz w:val="20"/>
                <w:szCs w:val="20"/>
              </w:rPr>
            </w:pPr>
            <w:r w:rsidRPr="00174008">
              <w:rPr>
                <w:rFonts w:asciiTheme="majorEastAsia" w:eastAsiaTheme="majorEastAsia" w:hAnsiTheme="majorEastAsia" w:cs="Arial" w:hint="eastAsia"/>
                <w:kern w:val="0"/>
                <w:sz w:val="20"/>
                <w:szCs w:val="20"/>
              </w:rPr>
              <w:t>刑事案件</w:t>
            </w:r>
          </w:p>
        </w:tc>
        <w:tc>
          <w:tcPr>
            <w:tcW w:w="1832" w:type="dxa"/>
            <w:tcBorders>
              <w:top w:val="single" w:sz="4" w:space="0" w:color="auto"/>
              <w:left w:val="nil"/>
              <w:bottom w:val="single" w:sz="4" w:space="0" w:color="auto"/>
              <w:right w:val="single" w:sz="4" w:space="0" w:color="auto"/>
            </w:tcBorders>
            <w:shd w:val="clear" w:color="auto" w:fill="auto"/>
            <w:noWrap/>
            <w:vAlign w:val="center"/>
            <w:hideMark/>
          </w:tcPr>
          <w:p w:rsidR="00F65EA0" w:rsidRPr="00174008" w:rsidRDefault="00F65EA0" w:rsidP="00F65EA0">
            <w:pPr>
              <w:jc w:val="center"/>
              <w:rPr>
                <w:rFonts w:asciiTheme="majorEastAsia" w:eastAsiaTheme="majorEastAsia" w:hAnsiTheme="majorEastAsia" w:cs="Arial"/>
                <w:sz w:val="20"/>
                <w:szCs w:val="20"/>
              </w:rPr>
            </w:pPr>
            <w:r w:rsidRPr="00174008">
              <w:rPr>
                <w:rFonts w:asciiTheme="majorEastAsia" w:eastAsiaTheme="majorEastAsia" w:hAnsiTheme="majorEastAsia" w:cs="Arial"/>
                <w:sz w:val="20"/>
                <w:szCs w:val="20"/>
              </w:rPr>
              <w:t>13</w:t>
            </w:r>
          </w:p>
        </w:tc>
        <w:tc>
          <w:tcPr>
            <w:tcW w:w="1832" w:type="dxa"/>
            <w:tcBorders>
              <w:top w:val="single" w:sz="4" w:space="0" w:color="auto"/>
              <w:left w:val="nil"/>
              <w:bottom w:val="single" w:sz="4" w:space="0" w:color="auto"/>
              <w:right w:val="single" w:sz="4" w:space="0" w:color="auto"/>
            </w:tcBorders>
            <w:shd w:val="clear" w:color="auto" w:fill="auto"/>
            <w:noWrap/>
            <w:vAlign w:val="center"/>
            <w:hideMark/>
          </w:tcPr>
          <w:p w:rsidR="00F65EA0" w:rsidRPr="00174008" w:rsidRDefault="00F65EA0" w:rsidP="00F65EA0">
            <w:pPr>
              <w:jc w:val="center"/>
              <w:rPr>
                <w:rFonts w:asciiTheme="majorEastAsia" w:eastAsiaTheme="majorEastAsia" w:hAnsiTheme="majorEastAsia" w:cs="Arial"/>
                <w:sz w:val="20"/>
                <w:szCs w:val="20"/>
              </w:rPr>
            </w:pPr>
            <w:r w:rsidRPr="00174008">
              <w:rPr>
                <w:rFonts w:asciiTheme="majorEastAsia" w:eastAsiaTheme="majorEastAsia" w:hAnsiTheme="majorEastAsia" w:cs="Arial"/>
                <w:sz w:val="20"/>
                <w:szCs w:val="20"/>
              </w:rPr>
              <w:t>19</w:t>
            </w:r>
          </w:p>
        </w:tc>
        <w:tc>
          <w:tcPr>
            <w:tcW w:w="1832" w:type="dxa"/>
            <w:tcBorders>
              <w:top w:val="single" w:sz="4" w:space="0" w:color="auto"/>
              <w:left w:val="nil"/>
              <w:bottom w:val="single" w:sz="4" w:space="0" w:color="auto"/>
              <w:right w:val="single" w:sz="4" w:space="0" w:color="auto"/>
            </w:tcBorders>
            <w:shd w:val="clear" w:color="auto" w:fill="auto"/>
            <w:noWrap/>
            <w:vAlign w:val="center"/>
            <w:hideMark/>
          </w:tcPr>
          <w:p w:rsidR="00F65EA0" w:rsidRPr="00174008" w:rsidRDefault="00F65EA0" w:rsidP="00F65EA0">
            <w:pPr>
              <w:jc w:val="center"/>
              <w:rPr>
                <w:rFonts w:asciiTheme="majorEastAsia" w:eastAsiaTheme="majorEastAsia" w:hAnsiTheme="majorEastAsia" w:cs="Arial"/>
                <w:sz w:val="20"/>
                <w:szCs w:val="20"/>
              </w:rPr>
            </w:pPr>
            <w:r w:rsidRPr="00174008">
              <w:rPr>
                <w:rFonts w:asciiTheme="majorEastAsia" w:eastAsiaTheme="majorEastAsia" w:hAnsiTheme="majorEastAsia" w:cs="Arial"/>
                <w:sz w:val="20"/>
                <w:szCs w:val="20"/>
              </w:rPr>
              <w:t>-6</w:t>
            </w:r>
          </w:p>
        </w:tc>
        <w:tc>
          <w:tcPr>
            <w:tcW w:w="1918" w:type="dxa"/>
            <w:tcBorders>
              <w:top w:val="single" w:sz="4" w:space="0" w:color="auto"/>
              <w:left w:val="nil"/>
              <w:bottom w:val="single" w:sz="4" w:space="0" w:color="auto"/>
              <w:right w:val="single" w:sz="4" w:space="0" w:color="auto"/>
            </w:tcBorders>
            <w:shd w:val="clear" w:color="auto" w:fill="auto"/>
            <w:noWrap/>
            <w:vAlign w:val="center"/>
            <w:hideMark/>
          </w:tcPr>
          <w:p w:rsidR="00F65EA0" w:rsidRPr="00174008" w:rsidRDefault="00F65EA0" w:rsidP="00F65EA0">
            <w:pPr>
              <w:jc w:val="center"/>
              <w:rPr>
                <w:rFonts w:asciiTheme="majorEastAsia" w:eastAsiaTheme="majorEastAsia" w:hAnsiTheme="majorEastAsia" w:cs="Arial"/>
                <w:sz w:val="20"/>
                <w:szCs w:val="20"/>
              </w:rPr>
            </w:pPr>
            <w:r w:rsidRPr="00174008">
              <w:rPr>
                <w:rFonts w:asciiTheme="majorEastAsia" w:eastAsiaTheme="majorEastAsia" w:hAnsiTheme="majorEastAsia" w:cs="Arial"/>
                <w:sz w:val="20"/>
                <w:szCs w:val="20"/>
              </w:rPr>
              <w:t>-31.58%</w:t>
            </w:r>
          </w:p>
        </w:tc>
      </w:tr>
      <w:tr w:rsidR="00F65EA0" w:rsidRPr="00174008" w:rsidTr="004624E8">
        <w:trPr>
          <w:trHeight w:val="291"/>
        </w:trPr>
        <w:tc>
          <w:tcPr>
            <w:tcW w:w="1832" w:type="dxa"/>
            <w:tcBorders>
              <w:top w:val="nil"/>
              <w:left w:val="single" w:sz="4" w:space="0" w:color="auto"/>
              <w:bottom w:val="single" w:sz="4" w:space="0" w:color="auto"/>
              <w:right w:val="single" w:sz="4" w:space="0" w:color="auto"/>
            </w:tcBorders>
            <w:shd w:val="clear" w:color="auto" w:fill="auto"/>
            <w:noWrap/>
            <w:vAlign w:val="center"/>
            <w:hideMark/>
          </w:tcPr>
          <w:p w:rsidR="00F65EA0" w:rsidRPr="00174008" w:rsidRDefault="00F65EA0" w:rsidP="008D59AF">
            <w:pPr>
              <w:widowControl/>
              <w:jc w:val="center"/>
              <w:rPr>
                <w:rFonts w:asciiTheme="majorEastAsia" w:eastAsiaTheme="majorEastAsia" w:hAnsiTheme="majorEastAsia" w:cs="Arial"/>
                <w:kern w:val="0"/>
                <w:sz w:val="20"/>
                <w:szCs w:val="20"/>
              </w:rPr>
            </w:pPr>
            <w:r w:rsidRPr="00174008">
              <w:rPr>
                <w:rFonts w:asciiTheme="majorEastAsia" w:eastAsiaTheme="majorEastAsia" w:hAnsiTheme="majorEastAsia" w:cs="Arial" w:hint="eastAsia"/>
                <w:kern w:val="0"/>
                <w:sz w:val="20"/>
                <w:szCs w:val="20"/>
              </w:rPr>
              <w:t>刑罚变更案件</w:t>
            </w:r>
          </w:p>
        </w:tc>
        <w:tc>
          <w:tcPr>
            <w:tcW w:w="1832" w:type="dxa"/>
            <w:tcBorders>
              <w:top w:val="nil"/>
              <w:left w:val="nil"/>
              <w:bottom w:val="single" w:sz="4" w:space="0" w:color="auto"/>
              <w:right w:val="single" w:sz="4" w:space="0" w:color="auto"/>
            </w:tcBorders>
            <w:shd w:val="clear" w:color="auto" w:fill="auto"/>
            <w:noWrap/>
            <w:vAlign w:val="center"/>
            <w:hideMark/>
          </w:tcPr>
          <w:p w:rsidR="00F65EA0" w:rsidRPr="00174008" w:rsidRDefault="00F65EA0" w:rsidP="00F65EA0">
            <w:pPr>
              <w:jc w:val="center"/>
              <w:rPr>
                <w:rFonts w:asciiTheme="majorEastAsia" w:eastAsiaTheme="majorEastAsia" w:hAnsiTheme="majorEastAsia" w:cs="Arial"/>
                <w:sz w:val="20"/>
                <w:szCs w:val="20"/>
              </w:rPr>
            </w:pPr>
            <w:r w:rsidRPr="00174008">
              <w:rPr>
                <w:rFonts w:asciiTheme="majorEastAsia" w:eastAsiaTheme="majorEastAsia" w:hAnsiTheme="majorEastAsia" w:cs="Arial"/>
                <w:sz w:val="20"/>
                <w:szCs w:val="20"/>
              </w:rPr>
              <w:t>0</w:t>
            </w:r>
          </w:p>
        </w:tc>
        <w:tc>
          <w:tcPr>
            <w:tcW w:w="1832" w:type="dxa"/>
            <w:tcBorders>
              <w:top w:val="nil"/>
              <w:left w:val="nil"/>
              <w:bottom w:val="single" w:sz="4" w:space="0" w:color="auto"/>
              <w:right w:val="single" w:sz="4" w:space="0" w:color="auto"/>
            </w:tcBorders>
            <w:shd w:val="clear" w:color="auto" w:fill="auto"/>
            <w:noWrap/>
            <w:vAlign w:val="center"/>
            <w:hideMark/>
          </w:tcPr>
          <w:p w:rsidR="00F65EA0" w:rsidRPr="00174008" w:rsidRDefault="00F65EA0" w:rsidP="00F65EA0">
            <w:pPr>
              <w:jc w:val="center"/>
              <w:rPr>
                <w:rFonts w:asciiTheme="majorEastAsia" w:eastAsiaTheme="majorEastAsia" w:hAnsiTheme="majorEastAsia" w:cs="Arial"/>
                <w:sz w:val="20"/>
                <w:szCs w:val="20"/>
              </w:rPr>
            </w:pPr>
            <w:r w:rsidRPr="00174008">
              <w:rPr>
                <w:rFonts w:asciiTheme="majorEastAsia" w:eastAsiaTheme="majorEastAsia" w:hAnsiTheme="majorEastAsia" w:cs="Arial"/>
                <w:sz w:val="20"/>
                <w:szCs w:val="20"/>
              </w:rPr>
              <w:t>1</w:t>
            </w:r>
          </w:p>
        </w:tc>
        <w:tc>
          <w:tcPr>
            <w:tcW w:w="1832" w:type="dxa"/>
            <w:tcBorders>
              <w:top w:val="nil"/>
              <w:left w:val="nil"/>
              <w:bottom w:val="single" w:sz="4" w:space="0" w:color="auto"/>
              <w:right w:val="single" w:sz="4" w:space="0" w:color="auto"/>
            </w:tcBorders>
            <w:shd w:val="clear" w:color="auto" w:fill="auto"/>
            <w:noWrap/>
            <w:vAlign w:val="center"/>
            <w:hideMark/>
          </w:tcPr>
          <w:p w:rsidR="00F65EA0" w:rsidRPr="00174008" w:rsidRDefault="00F65EA0" w:rsidP="00F65EA0">
            <w:pPr>
              <w:jc w:val="center"/>
              <w:rPr>
                <w:rFonts w:asciiTheme="majorEastAsia" w:eastAsiaTheme="majorEastAsia" w:hAnsiTheme="majorEastAsia" w:cs="Arial"/>
                <w:sz w:val="20"/>
                <w:szCs w:val="20"/>
              </w:rPr>
            </w:pPr>
            <w:r w:rsidRPr="00174008">
              <w:rPr>
                <w:rFonts w:asciiTheme="majorEastAsia" w:eastAsiaTheme="majorEastAsia" w:hAnsiTheme="majorEastAsia" w:cs="Arial"/>
                <w:sz w:val="20"/>
                <w:szCs w:val="20"/>
              </w:rPr>
              <w:t>-1</w:t>
            </w:r>
          </w:p>
        </w:tc>
        <w:tc>
          <w:tcPr>
            <w:tcW w:w="1918" w:type="dxa"/>
            <w:tcBorders>
              <w:top w:val="nil"/>
              <w:left w:val="nil"/>
              <w:bottom w:val="single" w:sz="4" w:space="0" w:color="auto"/>
              <w:right w:val="single" w:sz="4" w:space="0" w:color="auto"/>
            </w:tcBorders>
            <w:shd w:val="clear" w:color="auto" w:fill="auto"/>
            <w:noWrap/>
            <w:vAlign w:val="center"/>
            <w:hideMark/>
          </w:tcPr>
          <w:p w:rsidR="00F65EA0" w:rsidRPr="00174008" w:rsidRDefault="00F65EA0" w:rsidP="00F65EA0">
            <w:pPr>
              <w:jc w:val="center"/>
              <w:rPr>
                <w:rFonts w:asciiTheme="majorEastAsia" w:eastAsiaTheme="majorEastAsia" w:hAnsiTheme="majorEastAsia" w:cs="Arial"/>
                <w:sz w:val="20"/>
                <w:szCs w:val="20"/>
              </w:rPr>
            </w:pPr>
            <w:r w:rsidRPr="00174008">
              <w:rPr>
                <w:rFonts w:asciiTheme="majorEastAsia" w:eastAsiaTheme="majorEastAsia" w:hAnsiTheme="majorEastAsia" w:cs="Arial"/>
                <w:sz w:val="20"/>
                <w:szCs w:val="20"/>
              </w:rPr>
              <w:t>-100.00%</w:t>
            </w:r>
          </w:p>
        </w:tc>
      </w:tr>
      <w:tr w:rsidR="00F65EA0" w:rsidRPr="00174008" w:rsidTr="004624E8">
        <w:trPr>
          <w:trHeight w:val="291"/>
        </w:trPr>
        <w:tc>
          <w:tcPr>
            <w:tcW w:w="1832" w:type="dxa"/>
            <w:tcBorders>
              <w:top w:val="nil"/>
              <w:left w:val="single" w:sz="4" w:space="0" w:color="auto"/>
              <w:bottom w:val="single" w:sz="4" w:space="0" w:color="auto"/>
              <w:right w:val="single" w:sz="4" w:space="0" w:color="auto"/>
            </w:tcBorders>
            <w:shd w:val="clear" w:color="auto" w:fill="auto"/>
            <w:noWrap/>
            <w:vAlign w:val="center"/>
            <w:hideMark/>
          </w:tcPr>
          <w:p w:rsidR="00F65EA0" w:rsidRPr="00174008" w:rsidRDefault="00F65EA0" w:rsidP="008D59AF">
            <w:pPr>
              <w:widowControl/>
              <w:jc w:val="center"/>
              <w:rPr>
                <w:rFonts w:asciiTheme="majorEastAsia" w:eastAsiaTheme="majorEastAsia" w:hAnsiTheme="majorEastAsia" w:cs="Arial"/>
                <w:kern w:val="0"/>
                <w:sz w:val="20"/>
                <w:szCs w:val="20"/>
              </w:rPr>
            </w:pPr>
            <w:r w:rsidRPr="00174008">
              <w:rPr>
                <w:rFonts w:asciiTheme="majorEastAsia" w:eastAsiaTheme="majorEastAsia" w:hAnsiTheme="majorEastAsia" w:cs="Arial" w:hint="eastAsia"/>
                <w:kern w:val="0"/>
                <w:sz w:val="20"/>
                <w:szCs w:val="20"/>
              </w:rPr>
              <w:t>民事案件</w:t>
            </w:r>
          </w:p>
        </w:tc>
        <w:tc>
          <w:tcPr>
            <w:tcW w:w="1832" w:type="dxa"/>
            <w:tcBorders>
              <w:top w:val="nil"/>
              <w:left w:val="nil"/>
              <w:bottom w:val="single" w:sz="4" w:space="0" w:color="auto"/>
              <w:right w:val="single" w:sz="4" w:space="0" w:color="auto"/>
            </w:tcBorders>
            <w:shd w:val="clear" w:color="auto" w:fill="auto"/>
            <w:noWrap/>
            <w:vAlign w:val="center"/>
            <w:hideMark/>
          </w:tcPr>
          <w:p w:rsidR="00F65EA0" w:rsidRPr="00174008" w:rsidRDefault="00F65EA0" w:rsidP="00F65EA0">
            <w:pPr>
              <w:jc w:val="center"/>
              <w:rPr>
                <w:rFonts w:asciiTheme="majorEastAsia" w:eastAsiaTheme="majorEastAsia" w:hAnsiTheme="majorEastAsia" w:cs="Arial"/>
                <w:sz w:val="20"/>
                <w:szCs w:val="20"/>
              </w:rPr>
            </w:pPr>
            <w:r w:rsidRPr="00174008">
              <w:rPr>
                <w:rFonts w:asciiTheme="majorEastAsia" w:eastAsiaTheme="majorEastAsia" w:hAnsiTheme="majorEastAsia" w:cs="Arial"/>
                <w:sz w:val="20"/>
                <w:szCs w:val="20"/>
              </w:rPr>
              <w:t>222</w:t>
            </w:r>
          </w:p>
        </w:tc>
        <w:tc>
          <w:tcPr>
            <w:tcW w:w="1832" w:type="dxa"/>
            <w:tcBorders>
              <w:top w:val="nil"/>
              <w:left w:val="nil"/>
              <w:bottom w:val="single" w:sz="4" w:space="0" w:color="auto"/>
              <w:right w:val="single" w:sz="4" w:space="0" w:color="auto"/>
            </w:tcBorders>
            <w:shd w:val="clear" w:color="auto" w:fill="auto"/>
            <w:noWrap/>
            <w:vAlign w:val="center"/>
            <w:hideMark/>
          </w:tcPr>
          <w:p w:rsidR="00F65EA0" w:rsidRPr="00174008" w:rsidRDefault="00F65EA0" w:rsidP="00F65EA0">
            <w:pPr>
              <w:jc w:val="center"/>
              <w:rPr>
                <w:rFonts w:asciiTheme="majorEastAsia" w:eastAsiaTheme="majorEastAsia" w:hAnsiTheme="majorEastAsia" w:cs="Arial"/>
                <w:sz w:val="20"/>
                <w:szCs w:val="20"/>
              </w:rPr>
            </w:pPr>
            <w:r w:rsidRPr="00174008">
              <w:rPr>
                <w:rFonts w:asciiTheme="majorEastAsia" w:eastAsiaTheme="majorEastAsia" w:hAnsiTheme="majorEastAsia" w:cs="Arial"/>
                <w:sz w:val="20"/>
                <w:szCs w:val="20"/>
              </w:rPr>
              <w:t>200</w:t>
            </w:r>
          </w:p>
        </w:tc>
        <w:tc>
          <w:tcPr>
            <w:tcW w:w="1832" w:type="dxa"/>
            <w:tcBorders>
              <w:top w:val="nil"/>
              <w:left w:val="nil"/>
              <w:bottom w:val="single" w:sz="4" w:space="0" w:color="auto"/>
              <w:right w:val="single" w:sz="4" w:space="0" w:color="auto"/>
            </w:tcBorders>
            <w:shd w:val="clear" w:color="auto" w:fill="auto"/>
            <w:noWrap/>
            <w:vAlign w:val="center"/>
            <w:hideMark/>
          </w:tcPr>
          <w:p w:rsidR="00F65EA0" w:rsidRPr="00174008" w:rsidRDefault="00F65EA0" w:rsidP="00F65EA0">
            <w:pPr>
              <w:jc w:val="center"/>
              <w:rPr>
                <w:rFonts w:asciiTheme="majorEastAsia" w:eastAsiaTheme="majorEastAsia" w:hAnsiTheme="majorEastAsia" w:cs="Arial"/>
                <w:sz w:val="20"/>
                <w:szCs w:val="20"/>
              </w:rPr>
            </w:pPr>
            <w:r w:rsidRPr="00174008">
              <w:rPr>
                <w:rFonts w:asciiTheme="majorEastAsia" w:eastAsiaTheme="majorEastAsia" w:hAnsiTheme="majorEastAsia" w:cs="Arial"/>
                <w:sz w:val="20"/>
                <w:szCs w:val="20"/>
              </w:rPr>
              <w:t>22</w:t>
            </w:r>
          </w:p>
        </w:tc>
        <w:tc>
          <w:tcPr>
            <w:tcW w:w="1918" w:type="dxa"/>
            <w:tcBorders>
              <w:top w:val="nil"/>
              <w:left w:val="nil"/>
              <w:bottom w:val="single" w:sz="4" w:space="0" w:color="auto"/>
              <w:right w:val="single" w:sz="4" w:space="0" w:color="auto"/>
            </w:tcBorders>
            <w:shd w:val="clear" w:color="auto" w:fill="auto"/>
            <w:noWrap/>
            <w:vAlign w:val="center"/>
            <w:hideMark/>
          </w:tcPr>
          <w:p w:rsidR="00F65EA0" w:rsidRPr="00174008" w:rsidRDefault="00F65EA0" w:rsidP="00F65EA0">
            <w:pPr>
              <w:jc w:val="center"/>
              <w:rPr>
                <w:rFonts w:asciiTheme="majorEastAsia" w:eastAsiaTheme="majorEastAsia" w:hAnsiTheme="majorEastAsia" w:cs="Arial"/>
                <w:sz w:val="20"/>
                <w:szCs w:val="20"/>
              </w:rPr>
            </w:pPr>
            <w:r w:rsidRPr="00174008">
              <w:rPr>
                <w:rFonts w:asciiTheme="majorEastAsia" w:eastAsiaTheme="majorEastAsia" w:hAnsiTheme="majorEastAsia" w:cs="Arial"/>
                <w:sz w:val="20"/>
                <w:szCs w:val="20"/>
              </w:rPr>
              <w:t>11.00%</w:t>
            </w:r>
          </w:p>
        </w:tc>
      </w:tr>
      <w:tr w:rsidR="00F65EA0" w:rsidRPr="00174008" w:rsidTr="004624E8">
        <w:trPr>
          <w:trHeight w:val="291"/>
        </w:trPr>
        <w:tc>
          <w:tcPr>
            <w:tcW w:w="1832" w:type="dxa"/>
            <w:tcBorders>
              <w:top w:val="nil"/>
              <w:left w:val="single" w:sz="4" w:space="0" w:color="auto"/>
              <w:bottom w:val="single" w:sz="4" w:space="0" w:color="auto"/>
              <w:right w:val="single" w:sz="4" w:space="0" w:color="auto"/>
            </w:tcBorders>
            <w:shd w:val="clear" w:color="auto" w:fill="auto"/>
            <w:noWrap/>
            <w:vAlign w:val="center"/>
            <w:hideMark/>
          </w:tcPr>
          <w:p w:rsidR="00F65EA0" w:rsidRPr="00174008" w:rsidRDefault="00F65EA0" w:rsidP="008D59AF">
            <w:pPr>
              <w:widowControl/>
              <w:jc w:val="center"/>
              <w:rPr>
                <w:rFonts w:asciiTheme="majorEastAsia" w:eastAsiaTheme="majorEastAsia" w:hAnsiTheme="majorEastAsia" w:cs="Arial"/>
                <w:kern w:val="0"/>
                <w:sz w:val="20"/>
                <w:szCs w:val="20"/>
              </w:rPr>
            </w:pPr>
            <w:r w:rsidRPr="00174008">
              <w:rPr>
                <w:rFonts w:asciiTheme="majorEastAsia" w:eastAsiaTheme="majorEastAsia" w:hAnsiTheme="majorEastAsia" w:cs="Arial" w:hint="eastAsia"/>
                <w:kern w:val="0"/>
                <w:sz w:val="20"/>
                <w:szCs w:val="20"/>
              </w:rPr>
              <w:t>行政案件</w:t>
            </w:r>
          </w:p>
        </w:tc>
        <w:tc>
          <w:tcPr>
            <w:tcW w:w="1832" w:type="dxa"/>
            <w:tcBorders>
              <w:top w:val="nil"/>
              <w:left w:val="nil"/>
              <w:bottom w:val="single" w:sz="4" w:space="0" w:color="auto"/>
              <w:right w:val="single" w:sz="4" w:space="0" w:color="auto"/>
            </w:tcBorders>
            <w:shd w:val="clear" w:color="auto" w:fill="auto"/>
            <w:noWrap/>
            <w:vAlign w:val="center"/>
            <w:hideMark/>
          </w:tcPr>
          <w:p w:rsidR="00F65EA0" w:rsidRPr="00174008" w:rsidRDefault="00F65EA0" w:rsidP="00F65EA0">
            <w:pPr>
              <w:jc w:val="center"/>
              <w:rPr>
                <w:rFonts w:asciiTheme="majorEastAsia" w:eastAsiaTheme="majorEastAsia" w:hAnsiTheme="majorEastAsia" w:cs="Arial"/>
                <w:sz w:val="20"/>
                <w:szCs w:val="20"/>
              </w:rPr>
            </w:pPr>
            <w:r w:rsidRPr="00174008">
              <w:rPr>
                <w:rFonts w:asciiTheme="majorEastAsia" w:eastAsiaTheme="majorEastAsia" w:hAnsiTheme="majorEastAsia" w:cs="Arial"/>
                <w:sz w:val="20"/>
                <w:szCs w:val="20"/>
              </w:rPr>
              <w:t>5</w:t>
            </w:r>
          </w:p>
        </w:tc>
        <w:tc>
          <w:tcPr>
            <w:tcW w:w="1832" w:type="dxa"/>
            <w:tcBorders>
              <w:top w:val="nil"/>
              <w:left w:val="nil"/>
              <w:bottom w:val="single" w:sz="4" w:space="0" w:color="auto"/>
              <w:right w:val="single" w:sz="4" w:space="0" w:color="auto"/>
            </w:tcBorders>
            <w:shd w:val="clear" w:color="auto" w:fill="auto"/>
            <w:noWrap/>
            <w:vAlign w:val="center"/>
            <w:hideMark/>
          </w:tcPr>
          <w:p w:rsidR="00F65EA0" w:rsidRPr="00174008" w:rsidRDefault="00F65EA0" w:rsidP="00F65EA0">
            <w:pPr>
              <w:jc w:val="center"/>
              <w:rPr>
                <w:rFonts w:asciiTheme="majorEastAsia" w:eastAsiaTheme="majorEastAsia" w:hAnsiTheme="majorEastAsia" w:cs="Arial"/>
                <w:sz w:val="20"/>
                <w:szCs w:val="20"/>
              </w:rPr>
            </w:pPr>
            <w:r w:rsidRPr="00174008">
              <w:rPr>
                <w:rFonts w:asciiTheme="majorEastAsia" w:eastAsiaTheme="majorEastAsia" w:hAnsiTheme="majorEastAsia" w:cs="Arial"/>
                <w:sz w:val="20"/>
                <w:szCs w:val="20"/>
              </w:rPr>
              <w:t>10</w:t>
            </w:r>
          </w:p>
        </w:tc>
        <w:tc>
          <w:tcPr>
            <w:tcW w:w="1832" w:type="dxa"/>
            <w:tcBorders>
              <w:top w:val="nil"/>
              <w:left w:val="nil"/>
              <w:bottom w:val="single" w:sz="4" w:space="0" w:color="auto"/>
              <w:right w:val="single" w:sz="4" w:space="0" w:color="auto"/>
            </w:tcBorders>
            <w:shd w:val="clear" w:color="auto" w:fill="auto"/>
            <w:noWrap/>
            <w:vAlign w:val="center"/>
            <w:hideMark/>
          </w:tcPr>
          <w:p w:rsidR="00F65EA0" w:rsidRPr="00174008" w:rsidRDefault="00F65EA0" w:rsidP="00F65EA0">
            <w:pPr>
              <w:jc w:val="center"/>
              <w:rPr>
                <w:rFonts w:asciiTheme="majorEastAsia" w:eastAsiaTheme="majorEastAsia" w:hAnsiTheme="majorEastAsia" w:cs="Arial"/>
                <w:sz w:val="20"/>
                <w:szCs w:val="20"/>
              </w:rPr>
            </w:pPr>
            <w:r w:rsidRPr="00174008">
              <w:rPr>
                <w:rFonts w:asciiTheme="majorEastAsia" w:eastAsiaTheme="majorEastAsia" w:hAnsiTheme="majorEastAsia" w:cs="Arial"/>
                <w:sz w:val="20"/>
                <w:szCs w:val="20"/>
              </w:rPr>
              <w:t>-5</w:t>
            </w:r>
          </w:p>
        </w:tc>
        <w:tc>
          <w:tcPr>
            <w:tcW w:w="1918" w:type="dxa"/>
            <w:tcBorders>
              <w:top w:val="nil"/>
              <w:left w:val="nil"/>
              <w:bottom w:val="single" w:sz="4" w:space="0" w:color="auto"/>
              <w:right w:val="single" w:sz="4" w:space="0" w:color="auto"/>
            </w:tcBorders>
            <w:shd w:val="clear" w:color="auto" w:fill="auto"/>
            <w:noWrap/>
            <w:vAlign w:val="center"/>
            <w:hideMark/>
          </w:tcPr>
          <w:p w:rsidR="00F65EA0" w:rsidRPr="00174008" w:rsidRDefault="00F65EA0" w:rsidP="00F65EA0">
            <w:pPr>
              <w:jc w:val="center"/>
              <w:rPr>
                <w:rFonts w:asciiTheme="majorEastAsia" w:eastAsiaTheme="majorEastAsia" w:hAnsiTheme="majorEastAsia" w:cs="Arial"/>
                <w:sz w:val="20"/>
                <w:szCs w:val="20"/>
              </w:rPr>
            </w:pPr>
            <w:r w:rsidRPr="00174008">
              <w:rPr>
                <w:rFonts w:asciiTheme="majorEastAsia" w:eastAsiaTheme="majorEastAsia" w:hAnsiTheme="majorEastAsia" w:cs="Arial"/>
                <w:sz w:val="20"/>
                <w:szCs w:val="20"/>
              </w:rPr>
              <w:t>-50.00%</w:t>
            </w:r>
          </w:p>
        </w:tc>
      </w:tr>
      <w:tr w:rsidR="00F65EA0" w:rsidRPr="00174008" w:rsidTr="004624E8">
        <w:trPr>
          <w:trHeight w:val="291"/>
        </w:trPr>
        <w:tc>
          <w:tcPr>
            <w:tcW w:w="1832" w:type="dxa"/>
            <w:tcBorders>
              <w:top w:val="nil"/>
              <w:left w:val="single" w:sz="4" w:space="0" w:color="auto"/>
              <w:bottom w:val="single" w:sz="4" w:space="0" w:color="auto"/>
              <w:right w:val="single" w:sz="4" w:space="0" w:color="auto"/>
            </w:tcBorders>
            <w:shd w:val="clear" w:color="auto" w:fill="auto"/>
            <w:noWrap/>
            <w:vAlign w:val="center"/>
            <w:hideMark/>
          </w:tcPr>
          <w:p w:rsidR="00F65EA0" w:rsidRPr="00174008" w:rsidRDefault="00F65EA0" w:rsidP="008D59AF">
            <w:pPr>
              <w:widowControl/>
              <w:jc w:val="center"/>
              <w:rPr>
                <w:rFonts w:asciiTheme="majorEastAsia" w:eastAsiaTheme="majorEastAsia" w:hAnsiTheme="majorEastAsia" w:cs="Arial"/>
                <w:kern w:val="0"/>
                <w:sz w:val="20"/>
                <w:szCs w:val="20"/>
              </w:rPr>
            </w:pPr>
            <w:r w:rsidRPr="00174008">
              <w:rPr>
                <w:rFonts w:asciiTheme="majorEastAsia" w:eastAsiaTheme="majorEastAsia" w:hAnsiTheme="majorEastAsia" w:cs="Arial" w:hint="eastAsia"/>
                <w:kern w:val="0"/>
                <w:sz w:val="20"/>
                <w:szCs w:val="20"/>
              </w:rPr>
              <w:t>赔偿案件</w:t>
            </w:r>
          </w:p>
        </w:tc>
        <w:tc>
          <w:tcPr>
            <w:tcW w:w="1832" w:type="dxa"/>
            <w:tcBorders>
              <w:top w:val="nil"/>
              <w:left w:val="nil"/>
              <w:bottom w:val="single" w:sz="4" w:space="0" w:color="auto"/>
              <w:right w:val="single" w:sz="4" w:space="0" w:color="auto"/>
            </w:tcBorders>
            <w:shd w:val="clear" w:color="auto" w:fill="auto"/>
            <w:noWrap/>
            <w:vAlign w:val="center"/>
            <w:hideMark/>
          </w:tcPr>
          <w:p w:rsidR="00F65EA0" w:rsidRPr="00174008" w:rsidRDefault="00F65EA0" w:rsidP="00F65EA0">
            <w:pPr>
              <w:jc w:val="center"/>
              <w:rPr>
                <w:rFonts w:asciiTheme="majorEastAsia" w:eastAsiaTheme="majorEastAsia" w:hAnsiTheme="majorEastAsia" w:cs="Arial"/>
                <w:sz w:val="20"/>
                <w:szCs w:val="20"/>
              </w:rPr>
            </w:pPr>
            <w:r w:rsidRPr="00174008">
              <w:rPr>
                <w:rFonts w:asciiTheme="majorEastAsia" w:eastAsiaTheme="majorEastAsia" w:hAnsiTheme="majorEastAsia" w:cs="Arial"/>
                <w:sz w:val="20"/>
                <w:szCs w:val="20"/>
              </w:rPr>
              <w:t>3</w:t>
            </w:r>
          </w:p>
        </w:tc>
        <w:tc>
          <w:tcPr>
            <w:tcW w:w="1832" w:type="dxa"/>
            <w:tcBorders>
              <w:top w:val="nil"/>
              <w:left w:val="nil"/>
              <w:bottom w:val="single" w:sz="4" w:space="0" w:color="auto"/>
              <w:right w:val="single" w:sz="4" w:space="0" w:color="auto"/>
            </w:tcBorders>
            <w:shd w:val="clear" w:color="auto" w:fill="auto"/>
            <w:noWrap/>
            <w:vAlign w:val="center"/>
            <w:hideMark/>
          </w:tcPr>
          <w:p w:rsidR="00F65EA0" w:rsidRPr="00174008" w:rsidRDefault="00F65EA0" w:rsidP="00F65EA0">
            <w:pPr>
              <w:jc w:val="center"/>
              <w:rPr>
                <w:rFonts w:asciiTheme="majorEastAsia" w:eastAsiaTheme="majorEastAsia" w:hAnsiTheme="majorEastAsia" w:cs="Arial"/>
                <w:sz w:val="20"/>
                <w:szCs w:val="20"/>
              </w:rPr>
            </w:pPr>
            <w:r w:rsidRPr="00174008">
              <w:rPr>
                <w:rFonts w:asciiTheme="majorEastAsia" w:eastAsiaTheme="majorEastAsia" w:hAnsiTheme="majorEastAsia" w:cs="Arial"/>
                <w:sz w:val="20"/>
                <w:szCs w:val="20"/>
              </w:rPr>
              <w:t>1</w:t>
            </w:r>
          </w:p>
        </w:tc>
        <w:tc>
          <w:tcPr>
            <w:tcW w:w="1832" w:type="dxa"/>
            <w:tcBorders>
              <w:top w:val="nil"/>
              <w:left w:val="nil"/>
              <w:bottom w:val="single" w:sz="4" w:space="0" w:color="auto"/>
              <w:right w:val="single" w:sz="4" w:space="0" w:color="auto"/>
            </w:tcBorders>
            <w:shd w:val="clear" w:color="auto" w:fill="auto"/>
            <w:noWrap/>
            <w:vAlign w:val="center"/>
            <w:hideMark/>
          </w:tcPr>
          <w:p w:rsidR="00F65EA0" w:rsidRPr="00174008" w:rsidRDefault="00F65EA0" w:rsidP="00F65EA0">
            <w:pPr>
              <w:jc w:val="center"/>
              <w:rPr>
                <w:rFonts w:asciiTheme="majorEastAsia" w:eastAsiaTheme="majorEastAsia" w:hAnsiTheme="majorEastAsia" w:cs="Arial"/>
                <w:sz w:val="20"/>
                <w:szCs w:val="20"/>
              </w:rPr>
            </w:pPr>
            <w:r w:rsidRPr="00174008">
              <w:rPr>
                <w:rFonts w:asciiTheme="majorEastAsia" w:eastAsiaTheme="majorEastAsia" w:hAnsiTheme="majorEastAsia" w:cs="Arial"/>
                <w:sz w:val="20"/>
                <w:szCs w:val="20"/>
              </w:rPr>
              <w:t>2</w:t>
            </w:r>
          </w:p>
        </w:tc>
        <w:tc>
          <w:tcPr>
            <w:tcW w:w="1918" w:type="dxa"/>
            <w:tcBorders>
              <w:top w:val="nil"/>
              <w:left w:val="nil"/>
              <w:bottom w:val="single" w:sz="4" w:space="0" w:color="auto"/>
              <w:right w:val="single" w:sz="4" w:space="0" w:color="auto"/>
            </w:tcBorders>
            <w:shd w:val="clear" w:color="auto" w:fill="auto"/>
            <w:noWrap/>
            <w:vAlign w:val="center"/>
            <w:hideMark/>
          </w:tcPr>
          <w:p w:rsidR="00F65EA0" w:rsidRPr="00174008" w:rsidRDefault="00F65EA0" w:rsidP="00F65EA0">
            <w:pPr>
              <w:jc w:val="center"/>
              <w:rPr>
                <w:rFonts w:asciiTheme="majorEastAsia" w:eastAsiaTheme="majorEastAsia" w:hAnsiTheme="majorEastAsia" w:cs="Arial"/>
                <w:sz w:val="20"/>
                <w:szCs w:val="20"/>
              </w:rPr>
            </w:pPr>
            <w:r w:rsidRPr="00174008">
              <w:rPr>
                <w:rFonts w:asciiTheme="majorEastAsia" w:eastAsiaTheme="majorEastAsia" w:hAnsiTheme="majorEastAsia" w:cs="Arial"/>
                <w:sz w:val="20"/>
                <w:szCs w:val="20"/>
              </w:rPr>
              <w:t>200.00%</w:t>
            </w:r>
          </w:p>
        </w:tc>
      </w:tr>
      <w:tr w:rsidR="00F65EA0" w:rsidRPr="00174008" w:rsidTr="004624E8">
        <w:trPr>
          <w:trHeight w:val="291"/>
        </w:trPr>
        <w:tc>
          <w:tcPr>
            <w:tcW w:w="1832" w:type="dxa"/>
            <w:tcBorders>
              <w:top w:val="nil"/>
              <w:left w:val="single" w:sz="4" w:space="0" w:color="auto"/>
              <w:bottom w:val="single" w:sz="4" w:space="0" w:color="auto"/>
              <w:right w:val="single" w:sz="4" w:space="0" w:color="auto"/>
            </w:tcBorders>
            <w:shd w:val="clear" w:color="auto" w:fill="auto"/>
            <w:noWrap/>
            <w:vAlign w:val="center"/>
            <w:hideMark/>
          </w:tcPr>
          <w:p w:rsidR="00F65EA0" w:rsidRPr="00174008" w:rsidRDefault="00F65EA0" w:rsidP="008D59AF">
            <w:pPr>
              <w:widowControl/>
              <w:jc w:val="center"/>
              <w:rPr>
                <w:rFonts w:asciiTheme="majorEastAsia" w:eastAsiaTheme="majorEastAsia" w:hAnsiTheme="majorEastAsia" w:cs="Arial"/>
                <w:kern w:val="0"/>
                <w:sz w:val="20"/>
                <w:szCs w:val="20"/>
              </w:rPr>
            </w:pPr>
            <w:r w:rsidRPr="00174008">
              <w:rPr>
                <w:rFonts w:asciiTheme="majorEastAsia" w:eastAsiaTheme="majorEastAsia" w:hAnsiTheme="majorEastAsia" w:cs="Arial" w:hint="eastAsia"/>
                <w:kern w:val="0"/>
                <w:sz w:val="20"/>
                <w:szCs w:val="20"/>
              </w:rPr>
              <w:t>审查监督案件</w:t>
            </w:r>
          </w:p>
        </w:tc>
        <w:tc>
          <w:tcPr>
            <w:tcW w:w="1832" w:type="dxa"/>
            <w:tcBorders>
              <w:top w:val="nil"/>
              <w:left w:val="nil"/>
              <w:bottom w:val="single" w:sz="4" w:space="0" w:color="auto"/>
              <w:right w:val="single" w:sz="4" w:space="0" w:color="auto"/>
            </w:tcBorders>
            <w:shd w:val="clear" w:color="auto" w:fill="auto"/>
            <w:noWrap/>
            <w:vAlign w:val="center"/>
            <w:hideMark/>
          </w:tcPr>
          <w:p w:rsidR="00F65EA0" w:rsidRPr="00174008" w:rsidRDefault="00F65EA0" w:rsidP="00F65EA0">
            <w:pPr>
              <w:jc w:val="center"/>
              <w:rPr>
                <w:rFonts w:asciiTheme="majorEastAsia" w:eastAsiaTheme="majorEastAsia" w:hAnsiTheme="majorEastAsia" w:cs="Arial"/>
                <w:sz w:val="20"/>
                <w:szCs w:val="20"/>
              </w:rPr>
            </w:pPr>
            <w:r w:rsidRPr="00174008">
              <w:rPr>
                <w:rFonts w:asciiTheme="majorEastAsia" w:eastAsiaTheme="majorEastAsia" w:hAnsiTheme="majorEastAsia" w:cs="Arial"/>
                <w:sz w:val="20"/>
                <w:szCs w:val="20"/>
              </w:rPr>
              <w:t>0</w:t>
            </w:r>
          </w:p>
        </w:tc>
        <w:tc>
          <w:tcPr>
            <w:tcW w:w="1832" w:type="dxa"/>
            <w:tcBorders>
              <w:top w:val="nil"/>
              <w:left w:val="nil"/>
              <w:bottom w:val="single" w:sz="4" w:space="0" w:color="auto"/>
              <w:right w:val="single" w:sz="4" w:space="0" w:color="auto"/>
            </w:tcBorders>
            <w:shd w:val="clear" w:color="auto" w:fill="auto"/>
            <w:noWrap/>
            <w:vAlign w:val="center"/>
            <w:hideMark/>
          </w:tcPr>
          <w:p w:rsidR="00F65EA0" w:rsidRPr="00174008" w:rsidRDefault="00F65EA0" w:rsidP="00F65EA0">
            <w:pPr>
              <w:jc w:val="center"/>
              <w:rPr>
                <w:rFonts w:asciiTheme="majorEastAsia" w:eastAsiaTheme="majorEastAsia" w:hAnsiTheme="majorEastAsia" w:cs="Arial"/>
                <w:sz w:val="20"/>
                <w:szCs w:val="20"/>
              </w:rPr>
            </w:pPr>
            <w:r w:rsidRPr="00174008">
              <w:rPr>
                <w:rFonts w:asciiTheme="majorEastAsia" w:eastAsiaTheme="majorEastAsia" w:hAnsiTheme="majorEastAsia" w:cs="Arial"/>
                <w:sz w:val="20"/>
                <w:szCs w:val="20"/>
              </w:rPr>
              <w:t>1</w:t>
            </w:r>
          </w:p>
        </w:tc>
        <w:tc>
          <w:tcPr>
            <w:tcW w:w="1832" w:type="dxa"/>
            <w:tcBorders>
              <w:top w:val="nil"/>
              <w:left w:val="nil"/>
              <w:bottom w:val="single" w:sz="4" w:space="0" w:color="auto"/>
              <w:right w:val="single" w:sz="4" w:space="0" w:color="auto"/>
            </w:tcBorders>
            <w:shd w:val="clear" w:color="auto" w:fill="auto"/>
            <w:noWrap/>
            <w:vAlign w:val="center"/>
            <w:hideMark/>
          </w:tcPr>
          <w:p w:rsidR="00F65EA0" w:rsidRPr="00174008" w:rsidRDefault="00F65EA0" w:rsidP="00F65EA0">
            <w:pPr>
              <w:jc w:val="center"/>
              <w:rPr>
                <w:rFonts w:asciiTheme="majorEastAsia" w:eastAsiaTheme="majorEastAsia" w:hAnsiTheme="majorEastAsia" w:cs="Arial"/>
                <w:sz w:val="20"/>
                <w:szCs w:val="20"/>
              </w:rPr>
            </w:pPr>
            <w:r w:rsidRPr="00174008">
              <w:rPr>
                <w:rFonts w:asciiTheme="majorEastAsia" w:eastAsiaTheme="majorEastAsia" w:hAnsiTheme="majorEastAsia" w:cs="Arial"/>
                <w:sz w:val="20"/>
                <w:szCs w:val="20"/>
              </w:rPr>
              <w:t>-1</w:t>
            </w:r>
          </w:p>
        </w:tc>
        <w:tc>
          <w:tcPr>
            <w:tcW w:w="1918" w:type="dxa"/>
            <w:tcBorders>
              <w:top w:val="nil"/>
              <w:left w:val="nil"/>
              <w:bottom w:val="single" w:sz="4" w:space="0" w:color="auto"/>
              <w:right w:val="single" w:sz="4" w:space="0" w:color="auto"/>
            </w:tcBorders>
            <w:shd w:val="clear" w:color="auto" w:fill="auto"/>
            <w:noWrap/>
            <w:vAlign w:val="center"/>
            <w:hideMark/>
          </w:tcPr>
          <w:p w:rsidR="00F65EA0" w:rsidRPr="00174008" w:rsidRDefault="00F65EA0" w:rsidP="00F65EA0">
            <w:pPr>
              <w:jc w:val="center"/>
              <w:rPr>
                <w:rFonts w:asciiTheme="majorEastAsia" w:eastAsiaTheme="majorEastAsia" w:hAnsiTheme="majorEastAsia" w:cs="Arial"/>
                <w:sz w:val="20"/>
                <w:szCs w:val="20"/>
              </w:rPr>
            </w:pPr>
            <w:r w:rsidRPr="00174008">
              <w:rPr>
                <w:rFonts w:asciiTheme="majorEastAsia" w:eastAsiaTheme="majorEastAsia" w:hAnsiTheme="majorEastAsia" w:cs="Arial"/>
                <w:sz w:val="20"/>
                <w:szCs w:val="20"/>
              </w:rPr>
              <w:t>-100.00%</w:t>
            </w:r>
          </w:p>
        </w:tc>
      </w:tr>
      <w:tr w:rsidR="00F65EA0" w:rsidRPr="00174008" w:rsidTr="004624E8">
        <w:trPr>
          <w:trHeight w:val="291"/>
        </w:trPr>
        <w:tc>
          <w:tcPr>
            <w:tcW w:w="1832" w:type="dxa"/>
            <w:tcBorders>
              <w:top w:val="nil"/>
              <w:left w:val="single" w:sz="4" w:space="0" w:color="auto"/>
              <w:bottom w:val="single" w:sz="4" w:space="0" w:color="auto"/>
              <w:right w:val="single" w:sz="4" w:space="0" w:color="auto"/>
            </w:tcBorders>
            <w:shd w:val="clear" w:color="auto" w:fill="auto"/>
            <w:noWrap/>
            <w:vAlign w:val="center"/>
            <w:hideMark/>
          </w:tcPr>
          <w:p w:rsidR="00F65EA0" w:rsidRPr="00174008" w:rsidRDefault="00F65EA0" w:rsidP="008D59AF">
            <w:pPr>
              <w:widowControl/>
              <w:jc w:val="center"/>
              <w:rPr>
                <w:rFonts w:asciiTheme="majorEastAsia" w:eastAsiaTheme="majorEastAsia" w:hAnsiTheme="majorEastAsia" w:cs="Arial"/>
                <w:kern w:val="0"/>
                <w:sz w:val="20"/>
                <w:szCs w:val="20"/>
              </w:rPr>
            </w:pPr>
            <w:r w:rsidRPr="00174008">
              <w:rPr>
                <w:rFonts w:asciiTheme="majorEastAsia" w:eastAsiaTheme="majorEastAsia" w:hAnsiTheme="majorEastAsia" w:cs="Arial" w:hint="eastAsia"/>
                <w:kern w:val="0"/>
                <w:sz w:val="20"/>
                <w:szCs w:val="20"/>
              </w:rPr>
              <w:t>执行案件</w:t>
            </w:r>
          </w:p>
        </w:tc>
        <w:tc>
          <w:tcPr>
            <w:tcW w:w="1832" w:type="dxa"/>
            <w:tcBorders>
              <w:top w:val="nil"/>
              <w:left w:val="nil"/>
              <w:bottom w:val="single" w:sz="4" w:space="0" w:color="auto"/>
              <w:right w:val="single" w:sz="4" w:space="0" w:color="auto"/>
            </w:tcBorders>
            <w:shd w:val="clear" w:color="auto" w:fill="auto"/>
            <w:noWrap/>
            <w:vAlign w:val="center"/>
            <w:hideMark/>
          </w:tcPr>
          <w:p w:rsidR="00F65EA0" w:rsidRPr="00174008" w:rsidRDefault="00F65EA0" w:rsidP="00F65EA0">
            <w:pPr>
              <w:jc w:val="center"/>
              <w:rPr>
                <w:rFonts w:asciiTheme="majorEastAsia" w:eastAsiaTheme="majorEastAsia" w:hAnsiTheme="majorEastAsia" w:cs="Arial"/>
                <w:sz w:val="20"/>
                <w:szCs w:val="20"/>
              </w:rPr>
            </w:pPr>
            <w:r w:rsidRPr="00174008">
              <w:rPr>
                <w:rFonts w:asciiTheme="majorEastAsia" w:eastAsiaTheme="majorEastAsia" w:hAnsiTheme="majorEastAsia" w:cs="Arial"/>
                <w:sz w:val="20"/>
                <w:szCs w:val="20"/>
              </w:rPr>
              <w:t>252</w:t>
            </w:r>
          </w:p>
        </w:tc>
        <w:tc>
          <w:tcPr>
            <w:tcW w:w="1832" w:type="dxa"/>
            <w:tcBorders>
              <w:top w:val="nil"/>
              <w:left w:val="nil"/>
              <w:bottom w:val="single" w:sz="4" w:space="0" w:color="auto"/>
              <w:right w:val="single" w:sz="4" w:space="0" w:color="auto"/>
            </w:tcBorders>
            <w:shd w:val="clear" w:color="auto" w:fill="auto"/>
            <w:noWrap/>
            <w:vAlign w:val="center"/>
            <w:hideMark/>
          </w:tcPr>
          <w:p w:rsidR="00F65EA0" w:rsidRPr="00174008" w:rsidRDefault="00F65EA0" w:rsidP="00F65EA0">
            <w:pPr>
              <w:jc w:val="center"/>
              <w:rPr>
                <w:rFonts w:asciiTheme="majorEastAsia" w:eastAsiaTheme="majorEastAsia" w:hAnsiTheme="majorEastAsia" w:cs="Arial"/>
                <w:sz w:val="20"/>
                <w:szCs w:val="20"/>
              </w:rPr>
            </w:pPr>
            <w:r w:rsidRPr="00174008">
              <w:rPr>
                <w:rFonts w:asciiTheme="majorEastAsia" w:eastAsiaTheme="majorEastAsia" w:hAnsiTheme="majorEastAsia" w:cs="Arial"/>
                <w:sz w:val="20"/>
                <w:szCs w:val="20"/>
              </w:rPr>
              <w:t>253</w:t>
            </w:r>
          </w:p>
        </w:tc>
        <w:tc>
          <w:tcPr>
            <w:tcW w:w="1832" w:type="dxa"/>
            <w:tcBorders>
              <w:top w:val="nil"/>
              <w:left w:val="nil"/>
              <w:bottom w:val="single" w:sz="4" w:space="0" w:color="auto"/>
              <w:right w:val="single" w:sz="4" w:space="0" w:color="auto"/>
            </w:tcBorders>
            <w:shd w:val="clear" w:color="auto" w:fill="auto"/>
            <w:noWrap/>
            <w:vAlign w:val="center"/>
            <w:hideMark/>
          </w:tcPr>
          <w:p w:rsidR="00F65EA0" w:rsidRPr="00174008" w:rsidRDefault="00F65EA0" w:rsidP="00F65EA0">
            <w:pPr>
              <w:jc w:val="center"/>
              <w:rPr>
                <w:rFonts w:asciiTheme="majorEastAsia" w:eastAsiaTheme="majorEastAsia" w:hAnsiTheme="majorEastAsia" w:cs="Arial"/>
                <w:sz w:val="20"/>
                <w:szCs w:val="20"/>
              </w:rPr>
            </w:pPr>
            <w:r w:rsidRPr="00174008">
              <w:rPr>
                <w:rFonts w:asciiTheme="majorEastAsia" w:eastAsiaTheme="majorEastAsia" w:hAnsiTheme="majorEastAsia" w:cs="Arial"/>
                <w:sz w:val="20"/>
                <w:szCs w:val="20"/>
              </w:rPr>
              <w:t>-1</w:t>
            </w:r>
          </w:p>
        </w:tc>
        <w:tc>
          <w:tcPr>
            <w:tcW w:w="1918" w:type="dxa"/>
            <w:tcBorders>
              <w:top w:val="nil"/>
              <w:left w:val="nil"/>
              <w:bottom w:val="single" w:sz="4" w:space="0" w:color="auto"/>
              <w:right w:val="single" w:sz="4" w:space="0" w:color="auto"/>
            </w:tcBorders>
            <w:shd w:val="clear" w:color="auto" w:fill="auto"/>
            <w:noWrap/>
            <w:vAlign w:val="center"/>
            <w:hideMark/>
          </w:tcPr>
          <w:p w:rsidR="00F65EA0" w:rsidRPr="00174008" w:rsidRDefault="00F65EA0" w:rsidP="00F65EA0">
            <w:pPr>
              <w:jc w:val="center"/>
              <w:rPr>
                <w:rFonts w:asciiTheme="majorEastAsia" w:eastAsiaTheme="majorEastAsia" w:hAnsiTheme="majorEastAsia" w:cs="Arial"/>
                <w:sz w:val="20"/>
                <w:szCs w:val="20"/>
              </w:rPr>
            </w:pPr>
            <w:r w:rsidRPr="00174008">
              <w:rPr>
                <w:rFonts w:asciiTheme="majorEastAsia" w:eastAsiaTheme="majorEastAsia" w:hAnsiTheme="majorEastAsia" w:cs="Arial"/>
                <w:sz w:val="20"/>
                <w:szCs w:val="20"/>
              </w:rPr>
              <w:t>-0.40%</w:t>
            </w:r>
          </w:p>
        </w:tc>
      </w:tr>
    </w:tbl>
    <w:p w:rsidR="003B227E" w:rsidRPr="00174008" w:rsidRDefault="003B227E" w:rsidP="003B227E">
      <w:pPr>
        <w:snapToGrid w:val="0"/>
        <w:spacing w:line="360" w:lineRule="auto"/>
        <w:ind w:firstLineChars="200" w:firstLine="640"/>
        <w:rPr>
          <w:rFonts w:asciiTheme="majorEastAsia" w:eastAsiaTheme="majorEastAsia" w:hAnsiTheme="majorEastAsia"/>
        </w:rPr>
      </w:pPr>
    </w:p>
    <w:p w:rsidR="00FA747F" w:rsidRPr="00174008" w:rsidRDefault="0080169B" w:rsidP="00976292">
      <w:pPr>
        <w:snapToGrid w:val="0"/>
        <w:spacing w:line="360" w:lineRule="auto"/>
        <w:ind w:firstLine="588"/>
        <w:jc w:val="left"/>
        <w:rPr>
          <w:rFonts w:asciiTheme="majorEastAsia" w:eastAsiaTheme="majorEastAsia" w:hAnsiTheme="majorEastAsia"/>
          <w:color w:val="000000"/>
        </w:rPr>
      </w:pPr>
      <w:r w:rsidRPr="00174008">
        <w:rPr>
          <w:rFonts w:asciiTheme="majorEastAsia" w:eastAsiaTheme="majorEastAsia" w:hAnsiTheme="majorEastAsia"/>
          <w:noProof/>
        </w:rPr>
        <w:lastRenderedPageBreak/>
        <w:drawing>
          <wp:inline distT="0" distB="0" distL="0" distR="0">
            <wp:extent cx="5615940" cy="3407410"/>
            <wp:effectExtent l="0" t="0" r="0" b="0"/>
            <wp:docPr id="15" name="对象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96AFC" w:rsidRPr="00174008" w:rsidRDefault="0080169B" w:rsidP="002A5562">
      <w:pPr>
        <w:snapToGrid w:val="0"/>
        <w:spacing w:line="360" w:lineRule="auto"/>
        <w:jc w:val="left"/>
        <w:rPr>
          <w:rFonts w:asciiTheme="majorEastAsia" w:eastAsiaTheme="majorEastAsia" w:hAnsiTheme="majorEastAsia"/>
          <w:color w:val="FF0000"/>
        </w:rPr>
      </w:pPr>
      <w:r w:rsidRPr="00174008">
        <w:rPr>
          <w:rFonts w:asciiTheme="majorEastAsia" w:eastAsiaTheme="majorEastAsia" w:hAnsiTheme="majorEastAsia"/>
          <w:noProof/>
          <w:color w:val="FF0000"/>
        </w:rPr>
        <w:drawing>
          <wp:inline distT="0" distB="0" distL="0" distR="0">
            <wp:extent cx="5555615" cy="2673985"/>
            <wp:effectExtent l="0" t="0" r="0" b="0"/>
            <wp:docPr id="8" name="对象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2A5562" w:rsidRPr="00174008">
        <w:rPr>
          <w:rFonts w:asciiTheme="majorEastAsia" w:eastAsiaTheme="majorEastAsia" w:hAnsiTheme="majorEastAsia" w:hint="eastAsia"/>
          <w:color w:val="FF0000"/>
        </w:rPr>
        <w:t xml:space="preserve">    </w:t>
      </w:r>
      <w:r w:rsidR="00FA747F" w:rsidRPr="00174008">
        <w:rPr>
          <w:rFonts w:asciiTheme="majorEastAsia" w:eastAsiaTheme="majorEastAsia" w:hAnsiTheme="majorEastAsia" w:hint="eastAsia"/>
          <w:b/>
          <w:color w:val="000000"/>
        </w:rPr>
        <w:t>二、和龙</w:t>
      </w:r>
      <w:r w:rsidR="00004462" w:rsidRPr="00174008">
        <w:rPr>
          <w:rFonts w:asciiTheme="majorEastAsia" w:eastAsiaTheme="majorEastAsia" w:hAnsiTheme="majorEastAsia" w:hint="eastAsia"/>
          <w:b/>
          <w:color w:val="000000"/>
        </w:rPr>
        <w:t>市人民</w:t>
      </w:r>
      <w:r w:rsidR="00FA747F" w:rsidRPr="00174008">
        <w:rPr>
          <w:rFonts w:asciiTheme="majorEastAsia" w:eastAsiaTheme="majorEastAsia" w:hAnsiTheme="majorEastAsia" w:hint="eastAsia"/>
          <w:b/>
          <w:color w:val="000000"/>
        </w:rPr>
        <w:t>法</w:t>
      </w:r>
      <w:r w:rsidR="00556745" w:rsidRPr="00174008">
        <w:rPr>
          <w:rFonts w:asciiTheme="majorEastAsia" w:eastAsiaTheme="majorEastAsia" w:hAnsiTheme="majorEastAsia" w:hint="eastAsia"/>
          <w:b/>
          <w:color w:val="000000"/>
        </w:rPr>
        <w:t>院审判执行工作其他方面基本情况</w:t>
      </w:r>
    </w:p>
    <w:p w:rsidR="00556745" w:rsidRPr="00174008" w:rsidRDefault="002C1BAF" w:rsidP="00821A47">
      <w:pPr>
        <w:snapToGrid w:val="0"/>
        <w:spacing w:line="360" w:lineRule="auto"/>
        <w:ind w:firstLineChars="200" w:firstLine="643"/>
        <w:rPr>
          <w:rFonts w:asciiTheme="majorEastAsia" w:eastAsiaTheme="majorEastAsia" w:hAnsiTheme="majorEastAsia"/>
          <w:b/>
          <w:color w:val="000000"/>
        </w:rPr>
      </w:pPr>
      <w:r w:rsidRPr="00174008">
        <w:rPr>
          <w:rFonts w:asciiTheme="majorEastAsia" w:eastAsiaTheme="majorEastAsia" w:hAnsiTheme="majorEastAsia" w:hint="eastAsia"/>
          <w:b/>
          <w:color w:val="000000"/>
        </w:rPr>
        <w:t>（一）</w:t>
      </w:r>
      <w:r w:rsidR="00556745" w:rsidRPr="00174008">
        <w:rPr>
          <w:rFonts w:asciiTheme="majorEastAsia" w:eastAsiaTheme="majorEastAsia" w:hAnsiTheme="majorEastAsia" w:hint="eastAsia"/>
          <w:b/>
          <w:color w:val="000000"/>
        </w:rPr>
        <w:t>法定审限结案及长期未结案件情况</w:t>
      </w:r>
    </w:p>
    <w:p w:rsidR="00556745" w:rsidRPr="00174008" w:rsidRDefault="00636A9E" w:rsidP="00296AFC">
      <w:pPr>
        <w:snapToGrid w:val="0"/>
        <w:spacing w:line="360" w:lineRule="auto"/>
        <w:ind w:firstLineChars="200" w:firstLine="640"/>
        <w:rPr>
          <w:rFonts w:asciiTheme="majorEastAsia" w:eastAsiaTheme="majorEastAsia" w:hAnsiTheme="majorEastAsia"/>
          <w:color w:val="000000"/>
        </w:rPr>
      </w:pPr>
      <w:r w:rsidRPr="00174008">
        <w:rPr>
          <w:rFonts w:asciiTheme="majorEastAsia" w:eastAsiaTheme="majorEastAsia" w:hAnsiTheme="majorEastAsia" w:hint="eastAsia"/>
          <w:color w:val="000000"/>
        </w:rPr>
        <w:t>2017年</w:t>
      </w:r>
      <w:r w:rsidR="003B6014" w:rsidRPr="00174008">
        <w:rPr>
          <w:rFonts w:asciiTheme="majorEastAsia" w:eastAsiaTheme="majorEastAsia" w:hAnsiTheme="majorEastAsia" w:hint="eastAsia"/>
          <w:color w:val="000000"/>
        </w:rPr>
        <w:t>上半年</w:t>
      </w:r>
      <w:r w:rsidR="003122DF" w:rsidRPr="00174008">
        <w:rPr>
          <w:rFonts w:asciiTheme="majorEastAsia" w:eastAsiaTheme="majorEastAsia" w:hAnsiTheme="majorEastAsia" w:hint="eastAsia"/>
          <w:color w:val="000000"/>
        </w:rPr>
        <w:t>和龙</w:t>
      </w:r>
      <w:r w:rsidR="00004462" w:rsidRPr="00174008">
        <w:rPr>
          <w:rFonts w:asciiTheme="majorEastAsia" w:eastAsiaTheme="majorEastAsia" w:hAnsiTheme="majorEastAsia" w:hint="eastAsia"/>
          <w:color w:val="000000"/>
        </w:rPr>
        <w:t>市人民</w:t>
      </w:r>
      <w:r w:rsidR="003122DF" w:rsidRPr="00174008">
        <w:rPr>
          <w:rFonts w:asciiTheme="majorEastAsia" w:eastAsiaTheme="majorEastAsia" w:hAnsiTheme="majorEastAsia" w:hint="eastAsia"/>
          <w:color w:val="000000"/>
        </w:rPr>
        <w:t>法院法定审限内结案率为</w:t>
      </w:r>
      <w:r w:rsidR="00695104" w:rsidRPr="00174008">
        <w:rPr>
          <w:rFonts w:asciiTheme="majorEastAsia" w:eastAsiaTheme="majorEastAsia" w:hAnsiTheme="majorEastAsia" w:hint="eastAsia"/>
          <w:color w:val="000000"/>
        </w:rPr>
        <w:t>100</w:t>
      </w:r>
      <w:r w:rsidR="001F44C2" w:rsidRPr="00174008">
        <w:rPr>
          <w:rFonts w:asciiTheme="majorEastAsia" w:eastAsiaTheme="majorEastAsia" w:hAnsiTheme="majorEastAsia" w:hint="eastAsia"/>
          <w:color w:val="000000"/>
        </w:rPr>
        <w:t>%</w:t>
      </w:r>
      <w:r w:rsidR="00695104" w:rsidRPr="00174008">
        <w:rPr>
          <w:rFonts w:asciiTheme="majorEastAsia" w:eastAsiaTheme="majorEastAsia" w:hAnsiTheme="majorEastAsia" w:hint="eastAsia"/>
          <w:color w:val="000000"/>
        </w:rPr>
        <w:t>。</w:t>
      </w:r>
    </w:p>
    <w:p w:rsidR="00057428" w:rsidRPr="00174008" w:rsidRDefault="00636A9E" w:rsidP="00296AFC">
      <w:pPr>
        <w:snapToGrid w:val="0"/>
        <w:spacing w:line="360" w:lineRule="auto"/>
        <w:ind w:firstLineChars="200" w:firstLine="640"/>
        <w:rPr>
          <w:rFonts w:asciiTheme="majorEastAsia" w:eastAsiaTheme="majorEastAsia" w:hAnsiTheme="majorEastAsia"/>
          <w:color w:val="000000"/>
        </w:rPr>
      </w:pPr>
      <w:r w:rsidRPr="00174008">
        <w:rPr>
          <w:rFonts w:asciiTheme="majorEastAsia" w:eastAsiaTheme="majorEastAsia" w:hAnsiTheme="majorEastAsia" w:hint="eastAsia"/>
          <w:color w:val="000000"/>
        </w:rPr>
        <w:t>2017年</w:t>
      </w:r>
      <w:r w:rsidR="003B6014" w:rsidRPr="00174008">
        <w:rPr>
          <w:rFonts w:asciiTheme="majorEastAsia" w:eastAsiaTheme="majorEastAsia" w:hAnsiTheme="majorEastAsia" w:hint="eastAsia"/>
          <w:color w:val="000000"/>
        </w:rPr>
        <w:t>上半年</w:t>
      </w:r>
      <w:r w:rsidR="00057428" w:rsidRPr="00174008">
        <w:rPr>
          <w:rFonts w:asciiTheme="majorEastAsia" w:eastAsiaTheme="majorEastAsia" w:hAnsiTheme="majorEastAsia" w:hint="eastAsia"/>
          <w:color w:val="000000"/>
        </w:rPr>
        <w:t>和龙</w:t>
      </w:r>
      <w:r w:rsidR="00004462" w:rsidRPr="00174008">
        <w:rPr>
          <w:rFonts w:asciiTheme="majorEastAsia" w:eastAsiaTheme="majorEastAsia" w:hAnsiTheme="majorEastAsia" w:hint="eastAsia"/>
          <w:color w:val="000000"/>
        </w:rPr>
        <w:t>市人民</w:t>
      </w:r>
      <w:r w:rsidR="00057428" w:rsidRPr="00174008">
        <w:rPr>
          <w:rFonts w:asciiTheme="majorEastAsia" w:eastAsiaTheme="majorEastAsia" w:hAnsiTheme="majorEastAsia" w:hint="eastAsia"/>
          <w:color w:val="000000"/>
        </w:rPr>
        <w:t>法院超一年未结</w:t>
      </w:r>
      <w:r w:rsidR="00352350" w:rsidRPr="00174008">
        <w:rPr>
          <w:rFonts w:asciiTheme="majorEastAsia" w:eastAsiaTheme="majorEastAsia" w:hAnsiTheme="majorEastAsia" w:hint="eastAsia"/>
          <w:color w:val="000000"/>
        </w:rPr>
        <w:t>诉讼</w:t>
      </w:r>
      <w:r w:rsidR="00057428" w:rsidRPr="00174008">
        <w:rPr>
          <w:rFonts w:asciiTheme="majorEastAsia" w:eastAsiaTheme="majorEastAsia" w:hAnsiTheme="majorEastAsia" w:hint="eastAsia"/>
          <w:color w:val="000000"/>
        </w:rPr>
        <w:t>案件</w:t>
      </w:r>
      <w:r w:rsidR="00EC24D2" w:rsidRPr="00174008">
        <w:rPr>
          <w:rFonts w:asciiTheme="majorEastAsia" w:eastAsiaTheme="majorEastAsia" w:hAnsiTheme="majorEastAsia" w:hint="eastAsia"/>
          <w:color w:val="000000"/>
        </w:rPr>
        <w:t>4</w:t>
      </w:r>
      <w:r w:rsidR="00057428" w:rsidRPr="00174008">
        <w:rPr>
          <w:rFonts w:asciiTheme="majorEastAsia" w:eastAsiaTheme="majorEastAsia" w:hAnsiTheme="majorEastAsia" w:hint="eastAsia"/>
          <w:color w:val="000000"/>
        </w:rPr>
        <w:t>件，其中超一年半未结诉讼案件</w:t>
      </w:r>
      <w:r w:rsidR="00EC24D2" w:rsidRPr="00174008">
        <w:rPr>
          <w:rFonts w:asciiTheme="majorEastAsia" w:eastAsiaTheme="majorEastAsia" w:hAnsiTheme="majorEastAsia" w:hint="eastAsia"/>
          <w:color w:val="000000"/>
        </w:rPr>
        <w:t>0</w:t>
      </w:r>
      <w:r w:rsidR="00057428" w:rsidRPr="00174008">
        <w:rPr>
          <w:rFonts w:asciiTheme="majorEastAsia" w:eastAsiaTheme="majorEastAsia" w:hAnsiTheme="majorEastAsia" w:hint="eastAsia"/>
          <w:color w:val="000000"/>
        </w:rPr>
        <w:t>件。</w:t>
      </w:r>
    </w:p>
    <w:p w:rsidR="00975397" w:rsidRPr="00174008" w:rsidRDefault="0080169B" w:rsidP="00057428">
      <w:pPr>
        <w:snapToGrid w:val="0"/>
        <w:spacing w:line="360" w:lineRule="auto"/>
        <w:rPr>
          <w:rFonts w:asciiTheme="majorEastAsia" w:eastAsiaTheme="majorEastAsia" w:hAnsiTheme="majorEastAsia"/>
          <w:color w:val="000000"/>
        </w:rPr>
      </w:pPr>
      <w:r w:rsidRPr="00174008">
        <w:rPr>
          <w:rFonts w:asciiTheme="majorEastAsia" w:eastAsiaTheme="majorEastAsia" w:hAnsiTheme="majorEastAsia"/>
          <w:noProof/>
          <w:color w:val="FF0000"/>
        </w:rPr>
        <w:lastRenderedPageBreak/>
        <w:drawing>
          <wp:inline distT="0" distB="0" distL="0" distR="0">
            <wp:extent cx="5555615" cy="2648585"/>
            <wp:effectExtent l="0" t="0" r="0" b="0"/>
            <wp:docPr id="9" name="对象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B3606" w:rsidRPr="00174008" w:rsidRDefault="007B3606" w:rsidP="00821A47">
      <w:pPr>
        <w:snapToGrid w:val="0"/>
        <w:spacing w:line="360" w:lineRule="auto"/>
        <w:ind w:firstLineChars="200" w:firstLine="643"/>
        <w:rPr>
          <w:rFonts w:asciiTheme="majorEastAsia" w:eastAsiaTheme="majorEastAsia" w:hAnsiTheme="majorEastAsia"/>
          <w:color w:val="000000"/>
        </w:rPr>
      </w:pPr>
      <w:r w:rsidRPr="00174008">
        <w:rPr>
          <w:rFonts w:asciiTheme="majorEastAsia" w:eastAsiaTheme="majorEastAsia" w:hAnsiTheme="majorEastAsia" w:hint="eastAsia"/>
          <w:b/>
          <w:color w:val="000000"/>
        </w:rPr>
        <w:t>（二）审判质效情况</w:t>
      </w:r>
    </w:p>
    <w:p w:rsidR="00556745" w:rsidRPr="00174008" w:rsidRDefault="0038110A" w:rsidP="00821A47">
      <w:pPr>
        <w:snapToGrid w:val="0"/>
        <w:spacing w:line="360" w:lineRule="auto"/>
        <w:ind w:firstLineChars="200" w:firstLine="643"/>
        <w:rPr>
          <w:rFonts w:asciiTheme="majorEastAsia" w:eastAsiaTheme="majorEastAsia" w:hAnsiTheme="majorEastAsia"/>
        </w:rPr>
      </w:pPr>
      <w:r w:rsidRPr="00174008">
        <w:rPr>
          <w:rFonts w:asciiTheme="majorEastAsia" w:eastAsiaTheme="majorEastAsia" w:hAnsiTheme="majorEastAsia" w:hint="eastAsia"/>
          <w:b/>
        </w:rPr>
        <w:t>1. 案件被发改情况</w:t>
      </w:r>
    </w:p>
    <w:p w:rsidR="007B3606" w:rsidRPr="00174008" w:rsidRDefault="00636A9E" w:rsidP="00296AFC">
      <w:pPr>
        <w:snapToGrid w:val="0"/>
        <w:spacing w:line="360" w:lineRule="auto"/>
        <w:ind w:firstLineChars="200" w:firstLine="640"/>
        <w:rPr>
          <w:rFonts w:asciiTheme="majorEastAsia" w:eastAsiaTheme="majorEastAsia" w:hAnsiTheme="majorEastAsia"/>
          <w:color w:val="000000"/>
        </w:rPr>
      </w:pPr>
      <w:r w:rsidRPr="00174008">
        <w:rPr>
          <w:rFonts w:asciiTheme="majorEastAsia" w:eastAsiaTheme="majorEastAsia" w:hAnsiTheme="majorEastAsia" w:hint="eastAsia"/>
        </w:rPr>
        <w:t>2017年</w:t>
      </w:r>
      <w:r w:rsidR="003B6014" w:rsidRPr="00174008">
        <w:rPr>
          <w:rFonts w:asciiTheme="majorEastAsia" w:eastAsiaTheme="majorEastAsia" w:hAnsiTheme="majorEastAsia" w:hint="eastAsia"/>
        </w:rPr>
        <w:t>上半年</w:t>
      </w:r>
      <w:r w:rsidR="000B58CB" w:rsidRPr="00174008">
        <w:rPr>
          <w:rFonts w:asciiTheme="majorEastAsia" w:eastAsiaTheme="majorEastAsia" w:hAnsiTheme="majorEastAsia" w:hint="eastAsia"/>
        </w:rPr>
        <w:t>和龙市人民法院一审判决案件改判发回重审率为</w:t>
      </w:r>
      <w:r w:rsidR="00DE494B" w:rsidRPr="00174008">
        <w:rPr>
          <w:rFonts w:asciiTheme="majorEastAsia" w:eastAsiaTheme="majorEastAsia" w:hAnsiTheme="majorEastAsia" w:hint="eastAsia"/>
        </w:rPr>
        <w:t>2.</w:t>
      </w:r>
      <w:r w:rsidR="00E73CA4" w:rsidRPr="00174008">
        <w:rPr>
          <w:rFonts w:asciiTheme="majorEastAsia" w:eastAsiaTheme="majorEastAsia" w:hAnsiTheme="majorEastAsia" w:hint="eastAsia"/>
        </w:rPr>
        <w:t>57</w:t>
      </w:r>
      <w:r w:rsidR="000B58CB" w:rsidRPr="00174008">
        <w:rPr>
          <w:rFonts w:asciiTheme="majorEastAsia" w:eastAsiaTheme="majorEastAsia" w:hAnsiTheme="majorEastAsia" w:hint="eastAsia"/>
        </w:rPr>
        <w:t>%，同比下降个</w:t>
      </w:r>
      <w:r w:rsidR="001C0E8D" w:rsidRPr="00174008">
        <w:rPr>
          <w:rFonts w:asciiTheme="majorEastAsia" w:eastAsiaTheme="majorEastAsia" w:hAnsiTheme="majorEastAsia" w:hint="eastAsia"/>
        </w:rPr>
        <w:t>0.914</w:t>
      </w:r>
      <w:r w:rsidR="000B58CB" w:rsidRPr="00174008">
        <w:rPr>
          <w:rFonts w:asciiTheme="majorEastAsia" w:eastAsiaTheme="majorEastAsia" w:hAnsiTheme="majorEastAsia" w:hint="eastAsia"/>
        </w:rPr>
        <w:t>百分点。其中被改判案件</w:t>
      </w:r>
      <w:r w:rsidR="00E73CA4" w:rsidRPr="00174008">
        <w:rPr>
          <w:rFonts w:asciiTheme="majorEastAsia" w:eastAsiaTheme="majorEastAsia" w:hAnsiTheme="majorEastAsia" w:hint="eastAsia"/>
        </w:rPr>
        <w:t>13</w:t>
      </w:r>
      <w:r w:rsidR="000B58CB" w:rsidRPr="00174008">
        <w:rPr>
          <w:rFonts w:asciiTheme="majorEastAsia" w:eastAsiaTheme="majorEastAsia" w:hAnsiTheme="majorEastAsia" w:hint="eastAsia"/>
        </w:rPr>
        <w:t>件，</w:t>
      </w:r>
      <w:r w:rsidR="00975397" w:rsidRPr="00174008">
        <w:rPr>
          <w:rFonts w:asciiTheme="majorEastAsia" w:eastAsiaTheme="majorEastAsia" w:hAnsiTheme="majorEastAsia" w:hint="eastAsia"/>
        </w:rPr>
        <w:t>同比</w:t>
      </w:r>
      <w:r w:rsidR="00847A52" w:rsidRPr="00174008">
        <w:rPr>
          <w:rFonts w:asciiTheme="majorEastAsia" w:eastAsiaTheme="majorEastAsia" w:hAnsiTheme="majorEastAsia" w:hint="eastAsia"/>
        </w:rPr>
        <w:t>减少</w:t>
      </w:r>
      <w:r w:rsidR="001C0E8D" w:rsidRPr="00174008">
        <w:rPr>
          <w:rFonts w:asciiTheme="majorEastAsia" w:eastAsiaTheme="majorEastAsia" w:hAnsiTheme="majorEastAsia" w:hint="eastAsia"/>
        </w:rPr>
        <w:t>5</w:t>
      </w:r>
      <w:r w:rsidR="00975397" w:rsidRPr="00174008">
        <w:rPr>
          <w:rFonts w:asciiTheme="majorEastAsia" w:eastAsiaTheme="majorEastAsia" w:hAnsiTheme="majorEastAsia" w:hint="eastAsia"/>
        </w:rPr>
        <w:t>件，</w:t>
      </w:r>
      <w:r w:rsidR="00847A52" w:rsidRPr="00174008">
        <w:rPr>
          <w:rFonts w:asciiTheme="majorEastAsia" w:eastAsiaTheme="majorEastAsia" w:hAnsiTheme="majorEastAsia" w:hint="eastAsia"/>
        </w:rPr>
        <w:t>下降</w:t>
      </w:r>
      <w:r w:rsidR="001C0E8D" w:rsidRPr="00174008">
        <w:rPr>
          <w:rFonts w:asciiTheme="majorEastAsia" w:eastAsiaTheme="majorEastAsia" w:hAnsiTheme="majorEastAsia" w:hint="eastAsia"/>
        </w:rPr>
        <w:t>27.78</w:t>
      </w:r>
      <w:r w:rsidR="00975397" w:rsidRPr="00174008">
        <w:rPr>
          <w:rFonts w:asciiTheme="majorEastAsia" w:eastAsiaTheme="majorEastAsia" w:hAnsiTheme="majorEastAsia" w:hint="eastAsia"/>
        </w:rPr>
        <w:t>%；</w:t>
      </w:r>
      <w:r w:rsidR="000B58CB" w:rsidRPr="00174008">
        <w:rPr>
          <w:rFonts w:asciiTheme="majorEastAsia" w:eastAsiaTheme="majorEastAsia" w:hAnsiTheme="majorEastAsia" w:hint="eastAsia"/>
        </w:rPr>
        <w:t>被发回案件</w:t>
      </w:r>
      <w:r w:rsidR="00E73CA4" w:rsidRPr="00174008">
        <w:rPr>
          <w:rFonts w:asciiTheme="majorEastAsia" w:eastAsiaTheme="majorEastAsia" w:hAnsiTheme="majorEastAsia" w:hint="eastAsia"/>
        </w:rPr>
        <w:t>4</w:t>
      </w:r>
      <w:r w:rsidR="000B58CB" w:rsidRPr="00174008">
        <w:rPr>
          <w:rFonts w:asciiTheme="majorEastAsia" w:eastAsiaTheme="majorEastAsia" w:hAnsiTheme="majorEastAsia" w:hint="eastAsia"/>
        </w:rPr>
        <w:t>件，同比减少</w:t>
      </w:r>
      <w:r w:rsidR="001C0E8D" w:rsidRPr="00174008">
        <w:rPr>
          <w:rFonts w:asciiTheme="majorEastAsia" w:eastAsiaTheme="majorEastAsia" w:hAnsiTheme="majorEastAsia" w:hint="eastAsia"/>
        </w:rPr>
        <w:t>3</w:t>
      </w:r>
      <w:r w:rsidR="000B58CB" w:rsidRPr="00174008">
        <w:rPr>
          <w:rFonts w:asciiTheme="majorEastAsia" w:eastAsiaTheme="majorEastAsia" w:hAnsiTheme="majorEastAsia" w:hint="eastAsia"/>
        </w:rPr>
        <w:t>件，下降</w:t>
      </w:r>
      <w:r w:rsidR="001C0E8D" w:rsidRPr="00174008">
        <w:rPr>
          <w:rFonts w:asciiTheme="majorEastAsia" w:eastAsiaTheme="majorEastAsia" w:hAnsiTheme="majorEastAsia" w:hint="eastAsia"/>
        </w:rPr>
        <w:t>42.86</w:t>
      </w:r>
      <w:r w:rsidR="000B58CB" w:rsidRPr="00174008">
        <w:rPr>
          <w:rFonts w:asciiTheme="majorEastAsia" w:eastAsiaTheme="majorEastAsia" w:hAnsiTheme="majorEastAsia" w:hint="eastAsia"/>
        </w:rPr>
        <w:t>%。</w:t>
      </w:r>
    </w:p>
    <w:p w:rsidR="00EB4F83" w:rsidRPr="00174008" w:rsidRDefault="0080169B" w:rsidP="005F15CC">
      <w:pPr>
        <w:snapToGrid w:val="0"/>
        <w:spacing w:line="360" w:lineRule="auto"/>
        <w:rPr>
          <w:rFonts w:asciiTheme="majorEastAsia" w:eastAsiaTheme="majorEastAsia" w:hAnsiTheme="majorEastAsia"/>
          <w:color w:val="FF0000"/>
        </w:rPr>
      </w:pPr>
      <w:r w:rsidRPr="00174008">
        <w:rPr>
          <w:rFonts w:asciiTheme="majorEastAsia" w:eastAsiaTheme="majorEastAsia" w:hAnsiTheme="majorEastAsia"/>
          <w:noProof/>
          <w:color w:val="FF0000"/>
        </w:rPr>
        <w:drawing>
          <wp:inline distT="0" distB="0" distL="0" distR="0">
            <wp:extent cx="5555615" cy="2898775"/>
            <wp:effectExtent l="0" t="0" r="0" b="0"/>
            <wp:docPr id="10" name="对象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B3606" w:rsidRPr="00174008" w:rsidRDefault="00EB4F83" w:rsidP="00EB4F83">
      <w:pPr>
        <w:snapToGrid w:val="0"/>
        <w:spacing w:line="360" w:lineRule="auto"/>
        <w:jc w:val="center"/>
        <w:rPr>
          <w:rFonts w:asciiTheme="majorEastAsia" w:eastAsiaTheme="majorEastAsia" w:hAnsiTheme="majorEastAsia"/>
          <w:b/>
          <w:sz w:val="30"/>
          <w:szCs w:val="30"/>
        </w:rPr>
      </w:pPr>
      <w:r w:rsidRPr="00174008">
        <w:rPr>
          <w:rFonts w:asciiTheme="majorEastAsia" w:eastAsiaTheme="majorEastAsia" w:hAnsiTheme="majorEastAsia" w:hint="eastAsia"/>
          <w:b/>
          <w:sz w:val="30"/>
          <w:szCs w:val="30"/>
        </w:rPr>
        <w:t xml:space="preserve">图标11 </w:t>
      </w:r>
      <w:r w:rsidR="00775E4B" w:rsidRPr="00174008">
        <w:rPr>
          <w:rFonts w:asciiTheme="majorEastAsia" w:eastAsiaTheme="majorEastAsia" w:hAnsiTheme="majorEastAsia" w:hint="eastAsia"/>
          <w:b/>
          <w:sz w:val="30"/>
          <w:szCs w:val="30"/>
        </w:rPr>
        <w:t xml:space="preserve"> </w:t>
      </w:r>
      <w:r w:rsidRPr="00174008">
        <w:rPr>
          <w:rFonts w:asciiTheme="majorEastAsia" w:eastAsiaTheme="majorEastAsia" w:hAnsiTheme="majorEastAsia" w:hint="eastAsia"/>
          <w:b/>
          <w:sz w:val="30"/>
          <w:szCs w:val="30"/>
        </w:rPr>
        <w:t>发回重审和改判原因统计表</w:t>
      </w:r>
    </w:p>
    <w:p w:rsidR="00EB4F83" w:rsidRPr="00174008" w:rsidRDefault="00821A47" w:rsidP="00821A47">
      <w:pPr>
        <w:snapToGrid w:val="0"/>
        <w:spacing w:line="360" w:lineRule="auto"/>
        <w:ind w:left="720"/>
        <w:rPr>
          <w:rFonts w:asciiTheme="majorEastAsia" w:eastAsiaTheme="majorEastAsia" w:hAnsiTheme="majorEastAsia"/>
          <w:color w:val="000000"/>
        </w:rPr>
      </w:pPr>
      <w:r w:rsidRPr="00174008">
        <w:rPr>
          <w:rFonts w:asciiTheme="majorEastAsia" w:eastAsiaTheme="majorEastAsia" w:hAnsiTheme="majorEastAsia" w:hint="eastAsia"/>
          <w:color w:val="000000"/>
        </w:rPr>
        <w:lastRenderedPageBreak/>
        <w:t>1.</w:t>
      </w:r>
      <w:r w:rsidR="00EB4F83" w:rsidRPr="00174008">
        <w:rPr>
          <w:rFonts w:asciiTheme="majorEastAsia" w:eastAsiaTheme="majorEastAsia" w:hAnsiTheme="majorEastAsia" w:hint="eastAsia"/>
          <w:color w:val="000000"/>
        </w:rPr>
        <w:t>刑事案件</w:t>
      </w:r>
    </w:p>
    <w:tbl>
      <w:tblPr>
        <w:tblW w:w="90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2497"/>
        <w:gridCol w:w="3004"/>
      </w:tblGrid>
      <w:tr w:rsidR="00D731F7" w:rsidRPr="00174008" w:rsidTr="00D731F7">
        <w:trPr>
          <w:trHeight w:val="440"/>
        </w:trPr>
        <w:tc>
          <w:tcPr>
            <w:tcW w:w="3510" w:type="dxa"/>
            <w:vAlign w:val="center"/>
          </w:tcPr>
          <w:p w:rsidR="00D731F7" w:rsidRPr="00174008" w:rsidRDefault="00D731F7" w:rsidP="00D731F7">
            <w:pPr>
              <w:jc w:val="center"/>
              <w:rPr>
                <w:rFonts w:asciiTheme="majorEastAsia" w:eastAsiaTheme="majorEastAsia" w:hAnsiTheme="majorEastAsia"/>
                <w:b/>
                <w:sz w:val="24"/>
                <w:szCs w:val="24"/>
              </w:rPr>
            </w:pPr>
            <w:r w:rsidRPr="00174008">
              <w:rPr>
                <w:rFonts w:asciiTheme="majorEastAsia" w:eastAsiaTheme="majorEastAsia" w:hAnsiTheme="majorEastAsia" w:hint="eastAsia"/>
                <w:b/>
                <w:sz w:val="24"/>
                <w:szCs w:val="24"/>
              </w:rPr>
              <w:t>发改原因</w:t>
            </w:r>
          </w:p>
        </w:tc>
        <w:tc>
          <w:tcPr>
            <w:tcW w:w="2497" w:type="dxa"/>
            <w:vAlign w:val="center"/>
          </w:tcPr>
          <w:p w:rsidR="00D731F7" w:rsidRPr="00174008" w:rsidRDefault="00D731F7" w:rsidP="00D731F7">
            <w:pPr>
              <w:jc w:val="center"/>
              <w:rPr>
                <w:rFonts w:asciiTheme="majorEastAsia" w:eastAsiaTheme="majorEastAsia" w:hAnsiTheme="majorEastAsia"/>
                <w:b/>
                <w:sz w:val="24"/>
                <w:szCs w:val="24"/>
              </w:rPr>
            </w:pPr>
            <w:r w:rsidRPr="00174008">
              <w:rPr>
                <w:rFonts w:asciiTheme="majorEastAsia" w:eastAsiaTheme="majorEastAsia" w:hAnsiTheme="majorEastAsia" w:hint="eastAsia"/>
                <w:b/>
                <w:sz w:val="24"/>
                <w:szCs w:val="24"/>
              </w:rPr>
              <w:t>件数</w:t>
            </w:r>
          </w:p>
        </w:tc>
        <w:tc>
          <w:tcPr>
            <w:tcW w:w="3004" w:type="dxa"/>
            <w:vAlign w:val="center"/>
          </w:tcPr>
          <w:p w:rsidR="00D731F7" w:rsidRPr="00174008" w:rsidRDefault="00D731F7" w:rsidP="00D731F7">
            <w:pPr>
              <w:jc w:val="center"/>
              <w:rPr>
                <w:rFonts w:asciiTheme="majorEastAsia" w:eastAsiaTheme="majorEastAsia" w:hAnsiTheme="majorEastAsia"/>
                <w:b/>
                <w:sz w:val="24"/>
                <w:szCs w:val="24"/>
              </w:rPr>
            </w:pPr>
            <w:r w:rsidRPr="00174008">
              <w:rPr>
                <w:rFonts w:asciiTheme="majorEastAsia" w:eastAsiaTheme="majorEastAsia" w:hAnsiTheme="majorEastAsia" w:hint="eastAsia"/>
                <w:b/>
                <w:sz w:val="24"/>
                <w:szCs w:val="24"/>
              </w:rPr>
              <w:t>百分比（%）</w:t>
            </w:r>
          </w:p>
        </w:tc>
      </w:tr>
      <w:tr w:rsidR="00D731F7" w:rsidRPr="00174008" w:rsidTr="00D731F7">
        <w:trPr>
          <w:trHeight w:val="440"/>
        </w:trPr>
        <w:tc>
          <w:tcPr>
            <w:tcW w:w="3510" w:type="dxa"/>
            <w:vAlign w:val="center"/>
          </w:tcPr>
          <w:p w:rsidR="00D731F7" w:rsidRPr="00174008" w:rsidRDefault="00B57C53" w:rsidP="00D731F7">
            <w:pPr>
              <w:jc w:val="center"/>
              <w:rPr>
                <w:rFonts w:asciiTheme="majorEastAsia" w:eastAsiaTheme="majorEastAsia" w:hAnsiTheme="majorEastAsia"/>
                <w:sz w:val="24"/>
                <w:szCs w:val="24"/>
              </w:rPr>
            </w:pPr>
            <w:r w:rsidRPr="00174008">
              <w:rPr>
                <w:rFonts w:asciiTheme="majorEastAsia" w:eastAsiaTheme="majorEastAsia" w:hAnsiTheme="majorEastAsia" w:hint="eastAsia"/>
                <w:sz w:val="24"/>
                <w:szCs w:val="24"/>
              </w:rPr>
              <w:t>适用法律错误</w:t>
            </w:r>
          </w:p>
        </w:tc>
        <w:tc>
          <w:tcPr>
            <w:tcW w:w="2497" w:type="dxa"/>
            <w:vAlign w:val="center"/>
          </w:tcPr>
          <w:p w:rsidR="00D731F7" w:rsidRPr="00174008" w:rsidRDefault="00B57C53" w:rsidP="00D731F7">
            <w:pPr>
              <w:jc w:val="center"/>
              <w:rPr>
                <w:rFonts w:asciiTheme="majorEastAsia" w:eastAsiaTheme="majorEastAsia" w:hAnsiTheme="majorEastAsia"/>
                <w:sz w:val="24"/>
                <w:szCs w:val="24"/>
              </w:rPr>
            </w:pPr>
            <w:r w:rsidRPr="00174008">
              <w:rPr>
                <w:rFonts w:asciiTheme="majorEastAsia" w:eastAsiaTheme="majorEastAsia" w:hAnsiTheme="majorEastAsia" w:hint="eastAsia"/>
                <w:sz w:val="24"/>
                <w:szCs w:val="24"/>
              </w:rPr>
              <w:t>1</w:t>
            </w:r>
          </w:p>
        </w:tc>
        <w:tc>
          <w:tcPr>
            <w:tcW w:w="3004" w:type="dxa"/>
            <w:vAlign w:val="center"/>
          </w:tcPr>
          <w:p w:rsidR="00D731F7" w:rsidRPr="00174008" w:rsidRDefault="00B57C53" w:rsidP="00D731F7">
            <w:pPr>
              <w:jc w:val="center"/>
              <w:rPr>
                <w:rFonts w:asciiTheme="majorEastAsia" w:eastAsiaTheme="majorEastAsia" w:hAnsiTheme="majorEastAsia"/>
                <w:sz w:val="24"/>
                <w:szCs w:val="24"/>
              </w:rPr>
            </w:pPr>
            <w:r w:rsidRPr="00174008">
              <w:rPr>
                <w:rFonts w:asciiTheme="majorEastAsia" w:eastAsiaTheme="majorEastAsia" w:hAnsiTheme="majorEastAsia" w:hint="eastAsia"/>
                <w:sz w:val="24"/>
                <w:szCs w:val="24"/>
              </w:rPr>
              <w:t>25.00</w:t>
            </w:r>
          </w:p>
        </w:tc>
      </w:tr>
      <w:tr w:rsidR="00B57C53" w:rsidRPr="00174008" w:rsidTr="00D731F7">
        <w:trPr>
          <w:trHeight w:val="440"/>
        </w:trPr>
        <w:tc>
          <w:tcPr>
            <w:tcW w:w="3510" w:type="dxa"/>
            <w:vAlign w:val="center"/>
          </w:tcPr>
          <w:p w:rsidR="00B57C53" w:rsidRPr="00174008" w:rsidRDefault="00B57C53" w:rsidP="008D59AF">
            <w:pPr>
              <w:jc w:val="center"/>
              <w:rPr>
                <w:rFonts w:asciiTheme="majorEastAsia" w:eastAsiaTheme="majorEastAsia" w:hAnsiTheme="majorEastAsia"/>
                <w:sz w:val="24"/>
                <w:szCs w:val="24"/>
              </w:rPr>
            </w:pPr>
            <w:r w:rsidRPr="00174008">
              <w:rPr>
                <w:rFonts w:asciiTheme="majorEastAsia" w:eastAsiaTheme="majorEastAsia" w:hAnsiTheme="majorEastAsia" w:hint="eastAsia"/>
                <w:sz w:val="24"/>
                <w:szCs w:val="24"/>
              </w:rPr>
              <w:t>认定事实不清、证据不足</w:t>
            </w:r>
          </w:p>
        </w:tc>
        <w:tc>
          <w:tcPr>
            <w:tcW w:w="2497" w:type="dxa"/>
            <w:vAlign w:val="center"/>
          </w:tcPr>
          <w:p w:rsidR="00B57C53" w:rsidRPr="00174008" w:rsidRDefault="00B57C53" w:rsidP="008D59AF">
            <w:pPr>
              <w:jc w:val="center"/>
              <w:rPr>
                <w:rFonts w:asciiTheme="majorEastAsia" w:eastAsiaTheme="majorEastAsia" w:hAnsiTheme="majorEastAsia"/>
                <w:sz w:val="24"/>
                <w:szCs w:val="24"/>
              </w:rPr>
            </w:pPr>
            <w:r w:rsidRPr="00174008">
              <w:rPr>
                <w:rFonts w:asciiTheme="majorEastAsia" w:eastAsiaTheme="majorEastAsia" w:hAnsiTheme="majorEastAsia" w:hint="eastAsia"/>
                <w:sz w:val="24"/>
                <w:szCs w:val="24"/>
              </w:rPr>
              <w:t>3</w:t>
            </w:r>
          </w:p>
        </w:tc>
        <w:tc>
          <w:tcPr>
            <w:tcW w:w="3004" w:type="dxa"/>
            <w:vAlign w:val="center"/>
          </w:tcPr>
          <w:p w:rsidR="00B57C53" w:rsidRPr="00174008" w:rsidRDefault="00B57C53" w:rsidP="00D731F7">
            <w:pPr>
              <w:jc w:val="center"/>
              <w:rPr>
                <w:rFonts w:asciiTheme="majorEastAsia" w:eastAsiaTheme="majorEastAsia" w:hAnsiTheme="majorEastAsia"/>
                <w:sz w:val="24"/>
                <w:szCs w:val="24"/>
              </w:rPr>
            </w:pPr>
            <w:r w:rsidRPr="00174008">
              <w:rPr>
                <w:rFonts w:asciiTheme="majorEastAsia" w:eastAsiaTheme="majorEastAsia" w:hAnsiTheme="majorEastAsia" w:hint="eastAsia"/>
                <w:sz w:val="24"/>
                <w:szCs w:val="24"/>
              </w:rPr>
              <w:t>75.00</w:t>
            </w:r>
          </w:p>
        </w:tc>
      </w:tr>
    </w:tbl>
    <w:p w:rsidR="00D731F7" w:rsidRPr="00174008" w:rsidRDefault="00D731F7" w:rsidP="00D731F7">
      <w:pPr>
        <w:snapToGrid w:val="0"/>
        <w:spacing w:line="360" w:lineRule="auto"/>
        <w:rPr>
          <w:rFonts w:asciiTheme="majorEastAsia" w:eastAsiaTheme="majorEastAsia" w:hAnsiTheme="majorEastAsia"/>
          <w:color w:val="000000"/>
          <w:sz w:val="18"/>
          <w:szCs w:val="18"/>
        </w:rPr>
      </w:pPr>
    </w:p>
    <w:p w:rsidR="00EB4F83" w:rsidRPr="00174008" w:rsidRDefault="00821A47" w:rsidP="00821A47">
      <w:pPr>
        <w:snapToGrid w:val="0"/>
        <w:spacing w:line="360" w:lineRule="auto"/>
        <w:ind w:firstLineChars="200" w:firstLine="640"/>
        <w:rPr>
          <w:rFonts w:asciiTheme="majorEastAsia" w:eastAsiaTheme="majorEastAsia" w:hAnsiTheme="majorEastAsia"/>
          <w:color w:val="000000"/>
        </w:rPr>
      </w:pPr>
      <w:r w:rsidRPr="00174008">
        <w:rPr>
          <w:rFonts w:asciiTheme="majorEastAsia" w:eastAsiaTheme="majorEastAsia" w:hAnsiTheme="majorEastAsia" w:hint="eastAsia"/>
          <w:color w:val="000000"/>
        </w:rPr>
        <w:t>2.</w:t>
      </w:r>
      <w:r w:rsidR="00E50E2C" w:rsidRPr="00174008">
        <w:rPr>
          <w:rFonts w:asciiTheme="majorEastAsia" w:eastAsiaTheme="majorEastAsia" w:hAnsiTheme="majorEastAsia" w:hint="eastAsia"/>
          <w:color w:val="000000"/>
        </w:rPr>
        <w:t>民事案件</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2572"/>
        <w:gridCol w:w="2957"/>
      </w:tblGrid>
      <w:tr w:rsidR="00D731F7" w:rsidRPr="00174008" w:rsidTr="001C1C55">
        <w:trPr>
          <w:trHeight w:val="418"/>
        </w:trPr>
        <w:tc>
          <w:tcPr>
            <w:tcW w:w="3510" w:type="dxa"/>
          </w:tcPr>
          <w:p w:rsidR="00D731F7" w:rsidRPr="00174008" w:rsidRDefault="00D731F7" w:rsidP="001C1C55">
            <w:pPr>
              <w:jc w:val="center"/>
              <w:rPr>
                <w:rFonts w:asciiTheme="majorEastAsia" w:eastAsiaTheme="majorEastAsia" w:hAnsiTheme="majorEastAsia"/>
                <w:b/>
                <w:sz w:val="24"/>
                <w:szCs w:val="24"/>
              </w:rPr>
            </w:pPr>
            <w:r w:rsidRPr="00174008">
              <w:rPr>
                <w:rFonts w:asciiTheme="majorEastAsia" w:eastAsiaTheme="majorEastAsia" w:hAnsiTheme="majorEastAsia" w:hint="eastAsia"/>
                <w:b/>
                <w:sz w:val="24"/>
                <w:szCs w:val="24"/>
              </w:rPr>
              <w:t>业务部门</w:t>
            </w:r>
          </w:p>
        </w:tc>
        <w:tc>
          <w:tcPr>
            <w:tcW w:w="2572" w:type="dxa"/>
          </w:tcPr>
          <w:p w:rsidR="00D731F7" w:rsidRPr="00174008" w:rsidRDefault="00D731F7" w:rsidP="001C1C55">
            <w:pPr>
              <w:jc w:val="center"/>
              <w:rPr>
                <w:rFonts w:asciiTheme="majorEastAsia" w:eastAsiaTheme="majorEastAsia" w:hAnsiTheme="majorEastAsia"/>
                <w:b/>
                <w:sz w:val="24"/>
                <w:szCs w:val="24"/>
              </w:rPr>
            </w:pPr>
            <w:r w:rsidRPr="00174008">
              <w:rPr>
                <w:rFonts w:asciiTheme="majorEastAsia" w:eastAsiaTheme="majorEastAsia" w:hAnsiTheme="majorEastAsia" w:hint="eastAsia"/>
                <w:b/>
                <w:sz w:val="24"/>
                <w:szCs w:val="24"/>
              </w:rPr>
              <w:t>件数</w:t>
            </w:r>
          </w:p>
        </w:tc>
        <w:tc>
          <w:tcPr>
            <w:tcW w:w="2957" w:type="dxa"/>
          </w:tcPr>
          <w:p w:rsidR="00D731F7" w:rsidRPr="00174008" w:rsidRDefault="00D731F7" w:rsidP="001C1C55">
            <w:pPr>
              <w:jc w:val="center"/>
              <w:rPr>
                <w:rFonts w:asciiTheme="majorEastAsia" w:eastAsiaTheme="majorEastAsia" w:hAnsiTheme="majorEastAsia"/>
                <w:b/>
                <w:sz w:val="24"/>
                <w:szCs w:val="24"/>
              </w:rPr>
            </w:pPr>
            <w:r w:rsidRPr="00174008">
              <w:rPr>
                <w:rFonts w:asciiTheme="majorEastAsia" w:eastAsiaTheme="majorEastAsia" w:hAnsiTheme="majorEastAsia" w:hint="eastAsia"/>
                <w:b/>
                <w:sz w:val="24"/>
                <w:szCs w:val="24"/>
              </w:rPr>
              <w:t>百分比（%）</w:t>
            </w:r>
          </w:p>
        </w:tc>
      </w:tr>
      <w:tr w:rsidR="00D731F7" w:rsidRPr="00174008" w:rsidTr="001C1C55">
        <w:trPr>
          <w:trHeight w:val="432"/>
        </w:trPr>
        <w:tc>
          <w:tcPr>
            <w:tcW w:w="3510" w:type="dxa"/>
          </w:tcPr>
          <w:p w:rsidR="00D731F7" w:rsidRPr="00174008" w:rsidRDefault="00D731F7" w:rsidP="001C1C55">
            <w:pPr>
              <w:jc w:val="center"/>
              <w:rPr>
                <w:rFonts w:asciiTheme="majorEastAsia" w:eastAsiaTheme="majorEastAsia" w:hAnsiTheme="majorEastAsia"/>
                <w:sz w:val="24"/>
                <w:szCs w:val="24"/>
              </w:rPr>
            </w:pPr>
            <w:r w:rsidRPr="00174008">
              <w:rPr>
                <w:rFonts w:asciiTheme="majorEastAsia" w:eastAsiaTheme="majorEastAsia" w:hAnsiTheme="majorEastAsia" w:hint="eastAsia"/>
                <w:sz w:val="24"/>
                <w:szCs w:val="24"/>
              </w:rPr>
              <w:t>民事审判一庭</w:t>
            </w:r>
          </w:p>
        </w:tc>
        <w:tc>
          <w:tcPr>
            <w:tcW w:w="2572" w:type="dxa"/>
          </w:tcPr>
          <w:p w:rsidR="00D731F7" w:rsidRPr="00174008" w:rsidRDefault="00BB747C" w:rsidP="001C1C55">
            <w:pPr>
              <w:jc w:val="center"/>
              <w:rPr>
                <w:rFonts w:asciiTheme="majorEastAsia" w:eastAsiaTheme="majorEastAsia" w:hAnsiTheme="majorEastAsia"/>
                <w:sz w:val="24"/>
                <w:szCs w:val="24"/>
              </w:rPr>
            </w:pPr>
            <w:r w:rsidRPr="00174008">
              <w:rPr>
                <w:rFonts w:asciiTheme="majorEastAsia" w:eastAsiaTheme="majorEastAsia" w:hAnsiTheme="majorEastAsia" w:hint="eastAsia"/>
                <w:sz w:val="24"/>
                <w:szCs w:val="24"/>
              </w:rPr>
              <w:t>7</w:t>
            </w:r>
          </w:p>
        </w:tc>
        <w:tc>
          <w:tcPr>
            <w:tcW w:w="2957" w:type="dxa"/>
          </w:tcPr>
          <w:p w:rsidR="00D731F7" w:rsidRPr="00174008" w:rsidRDefault="00311283" w:rsidP="006D1C87">
            <w:pPr>
              <w:jc w:val="center"/>
              <w:rPr>
                <w:rFonts w:asciiTheme="majorEastAsia" w:eastAsiaTheme="majorEastAsia" w:hAnsiTheme="majorEastAsia"/>
                <w:sz w:val="24"/>
                <w:szCs w:val="24"/>
              </w:rPr>
            </w:pPr>
            <w:r w:rsidRPr="00174008">
              <w:rPr>
                <w:rFonts w:asciiTheme="majorEastAsia" w:eastAsiaTheme="majorEastAsia" w:hAnsiTheme="majorEastAsia" w:hint="eastAsia"/>
                <w:sz w:val="24"/>
                <w:szCs w:val="24"/>
              </w:rPr>
              <w:t>53.85</w:t>
            </w:r>
          </w:p>
        </w:tc>
      </w:tr>
      <w:tr w:rsidR="00D731F7" w:rsidRPr="00174008" w:rsidTr="001C1C55">
        <w:trPr>
          <w:trHeight w:val="432"/>
        </w:trPr>
        <w:tc>
          <w:tcPr>
            <w:tcW w:w="3510" w:type="dxa"/>
          </w:tcPr>
          <w:p w:rsidR="00D731F7" w:rsidRPr="00174008" w:rsidRDefault="00D731F7" w:rsidP="001C1C55">
            <w:pPr>
              <w:jc w:val="center"/>
              <w:rPr>
                <w:rFonts w:asciiTheme="majorEastAsia" w:eastAsiaTheme="majorEastAsia" w:hAnsiTheme="majorEastAsia"/>
                <w:sz w:val="24"/>
                <w:szCs w:val="24"/>
              </w:rPr>
            </w:pPr>
            <w:r w:rsidRPr="00174008">
              <w:rPr>
                <w:rFonts w:asciiTheme="majorEastAsia" w:eastAsiaTheme="majorEastAsia" w:hAnsiTheme="majorEastAsia" w:hint="eastAsia"/>
                <w:sz w:val="24"/>
                <w:szCs w:val="24"/>
              </w:rPr>
              <w:t>民事审判二庭</w:t>
            </w:r>
          </w:p>
        </w:tc>
        <w:tc>
          <w:tcPr>
            <w:tcW w:w="2572" w:type="dxa"/>
          </w:tcPr>
          <w:p w:rsidR="00D731F7" w:rsidRPr="00174008" w:rsidRDefault="00BB747C" w:rsidP="001C1C55">
            <w:pPr>
              <w:jc w:val="center"/>
              <w:rPr>
                <w:rFonts w:asciiTheme="majorEastAsia" w:eastAsiaTheme="majorEastAsia" w:hAnsiTheme="majorEastAsia"/>
                <w:sz w:val="24"/>
                <w:szCs w:val="24"/>
              </w:rPr>
            </w:pPr>
            <w:r w:rsidRPr="00174008">
              <w:rPr>
                <w:rFonts w:asciiTheme="majorEastAsia" w:eastAsiaTheme="majorEastAsia" w:hAnsiTheme="majorEastAsia" w:hint="eastAsia"/>
                <w:sz w:val="24"/>
                <w:szCs w:val="24"/>
              </w:rPr>
              <w:t>4</w:t>
            </w:r>
          </w:p>
        </w:tc>
        <w:tc>
          <w:tcPr>
            <w:tcW w:w="2957" w:type="dxa"/>
          </w:tcPr>
          <w:p w:rsidR="00D731F7" w:rsidRPr="00174008" w:rsidRDefault="00311283" w:rsidP="001C1C55">
            <w:pPr>
              <w:jc w:val="center"/>
              <w:rPr>
                <w:rFonts w:asciiTheme="majorEastAsia" w:eastAsiaTheme="majorEastAsia" w:hAnsiTheme="majorEastAsia"/>
                <w:sz w:val="24"/>
                <w:szCs w:val="24"/>
              </w:rPr>
            </w:pPr>
            <w:r w:rsidRPr="00174008">
              <w:rPr>
                <w:rFonts w:asciiTheme="majorEastAsia" w:eastAsiaTheme="majorEastAsia" w:hAnsiTheme="majorEastAsia" w:hint="eastAsia"/>
                <w:sz w:val="24"/>
                <w:szCs w:val="24"/>
              </w:rPr>
              <w:t>30.77</w:t>
            </w:r>
          </w:p>
        </w:tc>
      </w:tr>
      <w:tr w:rsidR="00D731F7" w:rsidRPr="00174008" w:rsidTr="001C1C55">
        <w:trPr>
          <w:trHeight w:val="432"/>
        </w:trPr>
        <w:tc>
          <w:tcPr>
            <w:tcW w:w="3510" w:type="dxa"/>
          </w:tcPr>
          <w:p w:rsidR="00D731F7" w:rsidRPr="00174008" w:rsidRDefault="00D731F7" w:rsidP="001C1C55">
            <w:pPr>
              <w:jc w:val="center"/>
              <w:rPr>
                <w:rFonts w:asciiTheme="majorEastAsia" w:eastAsiaTheme="majorEastAsia" w:hAnsiTheme="majorEastAsia"/>
                <w:sz w:val="24"/>
                <w:szCs w:val="24"/>
              </w:rPr>
            </w:pPr>
            <w:r w:rsidRPr="00174008">
              <w:rPr>
                <w:rFonts w:asciiTheme="majorEastAsia" w:eastAsiaTheme="majorEastAsia" w:hAnsiTheme="majorEastAsia" w:hint="eastAsia"/>
                <w:sz w:val="24"/>
                <w:szCs w:val="24"/>
              </w:rPr>
              <w:t>头道法庭</w:t>
            </w:r>
          </w:p>
        </w:tc>
        <w:tc>
          <w:tcPr>
            <w:tcW w:w="2572" w:type="dxa"/>
          </w:tcPr>
          <w:p w:rsidR="00D731F7" w:rsidRPr="00174008" w:rsidRDefault="00BB747C" w:rsidP="001C1C55">
            <w:pPr>
              <w:jc w:val="center"/>
              <w:rPr>
                <w:rFonts w:asciiTheme="majorEastAsia" w:eastAsiaTheme="majorEastAsia" w:hAnsiTheme="majorEastAsia"/>
                <w:sz w:val="24"/>
                <w:szCs w:val="24"/>
              </w:rPr>
            </w:pPr>
            <w:r w:rsidRPr="00174008">
              <w:rPr>
                <w:rFonts w:asciiTheme="majorEastAsia" w:eastAsiaTheme="majorEastAsia" w:hAnsiTheme="majorEastAsia" w:hint="eastAsia"/>
                <w:sz w:val="24"/>
                <w:szCs w:val="24"/>
              </w:rPr>
              <w:t>2</w:t>
            </w:r>
          </w:p>
        </w:tc>
        <w:tc>
          <w:tcPr>
            <w:tcW w:w="2957" w:type="dxa"/>
          </w:tcPr>
          <w:p w:rsidR="00D731F7" w:rsidRPr="00174008" w:rsidRDefault="00311283" w:rsidP="00247514">
            <w:pPr>
              <w:jc w:val="center"/>
              <w:rPr>
                <w:rFonts w:asciiTheme="majorEastAsia" w:eastAsiaTheme="majorEastAsia" w:hAnsiTheme="majorEastAsia"/>
                <w:sz w:val="24"/>
                <w:szCs w:val="24"/>
              </w:rPr>
            </w:pPr>
            <w:r w:rsidRPr="00174008">
              <w:rPr>
                <w:rFonts w:asciiTheme="majorEastAsia" w:eastAsiaTheme="majorEastAsia" w:hAnsiTheme="majorEastAsia" w:hint="eastAsia"/>
                <w:sz w:val="24"/>
                <w:szCs w:val="24"/>
              </w:rPr>
              <w:t>15.39</w:t>
            </w:r>
          </w:p>
        </w:tc>
      </w:tr>
    </w:tbl>
    <w:p w:rsidR="00E63BD4" w:rsidRPr="00174008" w:rsidRDefault="00E63BD4" w:rsidP="00EB4F83">
      <w:pPr>
        <w:snapToGrid w:val="0"/>
        <w:spacing w:line="360" w:lineRule="auto"/>
        <w:rPr>
          <w:rFonts w:asciiTheme="majorEastAsia" w:eastAsiaTheme="majorEastAsia" w:hAnsiTheme="majorEastAsia"/>
          <w:color w:val="000000"/>
          <w:sz w:val="15"/>
          <w:szCs w:val="15"/>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2552"/>
        <w:gridCol w:w="2977"/>
      </w:tblGrid>
      <w:tr w:rsidR="00D731F7" w:rsidRPr="00174008" w:rsidTr="00D731F7">
        <w:tc>
          <w:tcPr>
            <w:tcW w:w="3510" w:type="dxa"/>
          </w:tcPr>
          <w:p w:rsidR="00D731F7" w:rsidRPr="00174008" w:rsidRDefault="00D731F7" w:rsidP="00D731F7">
            <w:pPr>
              <w:jc w:val="center"/>
              <w:rPr>
                <w:rFonts w:asciiTheme="majorEastAsia" w:eastAsiaTheme="majorEastAsia" w:hAnsiTheme="majorEastAsia"/>
                <w:b/>
                <w:sz w:val="24"/>
                <w:szCs w:val="24"/>
              </w:rPr>
            </w:pPr>
            <w:r w:rsidRPr="00174008">
              <w:rPr>
                <w:rFonts w:asciiTheme="majorEastAsia" w:eastAsiaTheme="majorEastAsia" w:hAnsiTheme="majorEastAsia" w:hint="eastAsia"/>
                <w:b/>
                <w:sz w:val="24"/>
                <w:szCs w:val="24"/>
              </w:rPr>
              <w:t>发改原因</w:t>
            </w:r>
          </w:p>
        </w:tc>
        <w:tc>
          <w:tcPr>
            <w:tcW w:w="2552" w:type="dxa"/>
          </w:tcPr>
          <w:p w:rsidR="00D731F7" w:rsidRPr="00174008" w:rsidRDefault="00D731F7" w:rsidP="00D731F7">
            <w:pPr>
              <w:jc w:val="center"/>
              <w:rPr>
                <w:rFonts w:asciiTheme="majorEastAsia" w:eastAsiaTheme="majorEastAsia" w:hAnsiTheme="majorEastAsia"/>
                <w:b/>
                <w:sz w:val="24"/>
                <w:szCs w:val="24"/>
              </w:rPr>
            </w:pPr>
            <w:r w:rsidRPr="00174008">
              <w:rPr>
                <w:rFonts w:asciiTheme="majorEastAsia" w:eastAsiaTheme="majorEastAsia" w:hAnsiTheme="majorEastAsia" w:hint="eastAsia"/>
                <w:b/>
                <w:sz w:val="24"/>
                <w:szCs w:val="24"/>
              </w:rPr>
              <w:t>件数</w:t>
            </w:r>
          </w:p>
        </w:tc>
        <w:tc>
          <w:tcPr>
            <w:tcW w:w="2977" w:type="dxa"/>
          </w:tcPr>
          <w:p w:rsidR="00D731F7" w:rsidRPr="00174008" w:rsidRDefault="00D731F7" w:rsidP="00D731F7">
            <w:pPr>
              <w:jc w:val="center"/>
              <w:rPr>
                <w:rFonts w:asciiTheme="majorEastAsia" w:eastAsiaTheme="majorEastAsia" w:hAnsiTheme="majorEastAsia"/>
                <w:b/>
                <w:sz w:val="24"/>
                <w:szCs w:val="24"/>
              </w:rPr>
            </w:pPr>
            <w:r w:rsidRPr="00174008">
              <w:rPr>
                <w:rFonts w:asciiTheme="majorEastAsia" w:eastAsiaTheme="majorEastAsia" w:hAnsiTheme="majorEastAsia" w:hint="eastAsia"/>
                <w:b/>
                <w:sz w:val="24"/>
                <w:szCs w:val="24"/>
              </w:rPr>
              <w:t>百分比（%）</w:t>
            </w:r>
          </w:p>
        </w:tc>
      </w:tr>
      <w:tr w:rsidR="00D731F7" w:rsidRPr="00174008" w:rsidTr="00D731F7">
        <w:tc>
          <w:tcPr>
            <w:tcW w:w="3510" w:type="dxa"/>
          </w:tcPr>
          <w:p w:rsidR="00D731F7" w:rsidRPr="00174008" w:rsidRDefault="00D731F7" w:rsidP="00D731F7">
            <w:pPr>
              <w:jc w:val="center"/>
              <w:rPr>
                <w:rFonts w:asciiTheme="majorEastAsia" w:eastAsiaTheme="majorEastAsia" w:hAnsiTheme="majorEastAsia"/>
                <w:sz w:val="24"/>
                <w:szCs w:val="24"/>
              </w:rPr>
            </w:pPr>
            <w:r w:rsidRPr="00174008">
              <w:rPr>
                <w:rFonts w:asciiTheme="majorEastAsia" w:eastAsiaTheme="majorEastAsia" w:hAnsiTheme="majorEastAsia" w:hint="eastAsia"/>
                <w:sz w:val="24"/>
                <w:szCs w:val="24"/>
              </w:rPr>
              <w:t>适用法律错误</w:t>
            </w:r>
          </w:p>
        </w:tc>
        <w:tc>
          <w:tcPr>
            <w:tcW w:w="2552" w:type="dxa"/>
          </w:tcPr>
          <w:p w:rsidR="00D731F7" w:rsidRPr="00174008" w:rsidRDefault="009C4BB1" w:rsidP="00D731F7">
            <w:pPr>
              <w:jc w:val="center"/>
              <w:rPr>
                <w:rFonts w:asciiTheme="majorEastAsia" w:eastAsiaTheme="majorEastAsia" w:hAnsiTheme="majorEastAsia"/>
                <w:sz w:val="24"/>
                <w:szCs w:val="24"/>
              </w:rPr>
            </w:pPr>
            <w:r w:rsidRPr="00174008">
              <w:rPr>
                <w:rFonts w:asciiTheme="majorEastAsia" w:eastAsiaTheme="majorEastAsia" w:hAnsiTheme="majorEastAsia" w:hint="eastAsia"/>
                <w:sz w:val="24"/>
                <w:szCs w:val="24"/>
              </w:rPr>
              <w:t>3</w:t>
            </w:r>
          </w:p>
        </w:tc>
        <w:tc>
          <w:tcPr>
            <w:tcW w:w="2977" w:type="dxa"/>
          </w:tcPr>
          <w:p w:rsidR="00D731F7" w:rsidRPr="00174008" w:rsidRDefault="001064A0" w:rsidP="00D731F7">
            <w:pPr>
              <w:jc w:val="center"/>
              <w:rPr>
                <w:rFonts w:asciiTheme="majorEastAsia" w:eastAsiaTheme="majorEastAsia" w:hAnsiTheme="majorEastAsia"/>
                <w:sz w:val="24"/>
                <w:szCs w:val="24"/>
              </w:rPr>
            </w:pPr>
            <w:r w:rsidRPr="00174008">
              <w:rPr>
                <w:rFonts w:asciiTheme="majorEastAsia" w:eastAsiaTheme="majorEastAsia" w:hAnsiTheme="majorEastAsia" w:hint="eastAsia"/>
                <w:sz w:val="24"/>
                <w:szCs w:val="24"/>
              </w:rPr>
              <w:t>30</w:t>
            </w:r>
          </w:p>
        </w:tc>
      </w:tr>
      <w:tr w:rsidR="00D731F7" w:rsidRPr="00174008" w:rsidTr="00D731F7">
        <w:tc>
          <w:tcPr>
            <w:tcW w:w="3510" w:type="dxa"/>
          </w:tcPr>
          <w:p w:rsidR="00D731F7" w:rsidRPr="00174008" w:rsidRDefault="00D731F7" w:rsidP="00D731F7">
            <w:pPr>
              <w:jc w:val="center"/>
              <w:rPr>
                <w:rFonts w:asciiTheme="majorEastAsia" w:eastAsiaTheme="majorEastAsia" w:hAnsiTheme="majorEastAsia"/>
                <w:sz w:val="24"/>
                <w:szCs w:val="24"/>
              </w:rPr>
            </w:pPr>
            <w:r w:rsidRPr="00174008">
              <w:rPr>
                <w:rFonts w:asciiTheme="majorEastAsia" w:eastAsiaTheme="majorEastAsia" w:hAnsiTheme="majorEastAsia" w:hint="eastAsia"/>
                <w:sz w:val="24"/>
                <w:szCs w:val="24"/>
              </w:rPr>
              <w:t>认定事实不清</w:t>
            </w:r>
            <w:r w:rsidR="00775E4B" w:rsidRPr="00174008">
              <w:rPr>
                <w:rFonts w:asciiTheme="majorEastAsia" w:eastAsiaTheme="majorEastAsia" w:hAnsiTheme="majorEastAsia" w:hint="eastAsia"/>
                <w:sz w:val="24"/>
                <w:szCs w:val="24"/>
              </w:rPr>
              <w:t>、错误</w:t>
            </w:r>
          </w:p>
        </w:tc>
        <w:tc>
          <w:tcPr>
            <w:tcW w:w="2552" w:type="dxa"/>
          </w:tcPr>
          <w:p w:rsidR="00D731F7" w:rsidRPr="00174008" w:rsidRDefault="009C4BB1" w:rsidP="00AF410E">
            <w:pPr>
              <w:jc w:val="center"/>
              <w:rPr>
                <w:rFonts w:asciiTheme="majorEastAsia" w:eastAsiaTheme="majorEastAsia" w:hAnsiTheme="majorEastAsia"/>
                <w:sz w:val="24"/>
                <w:szCs w:val="24"/>
              </w:rPr>
            </w:pPr>
            <w:r w:rsidRPr="00174008">
              <w:rPr>
                <w:rFonts w:asciiTheme="majorEastAsia" w:eastAsiaTheme="majorEastAsia" w:hAnsiTheme="majorEastAsia" w:hint="eastAsia"/>
                <w:sz w:val="24"/>
                <w:szCs w:val="24"/>
              </w:rPr>
              <w:t>6</w:t>
            </w:r>
          </w:p>
        </w:tc>
        <w:tc>
          <w:tcPr>
            <w:tcW w:w="2977" w:type="dxa"/>
          </w:tcPr>
          <w:p w:rsidR="00D731F7" w:rsidRPr="00174008" w:rsidRDefault="001064A0" w:rsidP="00D731F7">
            <w:pPr>
              <w:jc w:val="center"/>
              <w:rPr>
                <w:rFonts w:asciiTheme="majorEastAsia" w:eastAsiaTheme="majorEastAsia" w:hAnsiTheme="majorEastAsia"/>
                <w:sz w:val="24"/>
                <w:szCs w:val="24"/>
              </w:rPr>
            </w:pPr>
            <w:r w:rsidRPr="00174008">
              <w:rPr>
                <w:rFonts w:asciiTheme="majorEastAsia" w:eastAsiaTheme="majorEastAsia" w:hAnsiTheme="majorEastAsia" w:hint="eastAsia"/>
                <w:sz w:val="24"/>
                <w:szCs w:val="24"/>
              </w:rPr>
              <w:t>60</w:t>
            </w:r>
          </w:p>
        </w:tc>
      </w:tr>
      <w:tr w:rsidR="00E13D9A" w:rsidRPr="00174008" w:rsidTr="00D731F7">
        <w:tc>
          <w:tcPr>
            <w:tcW w:w="3510" w:type="dxa"/>
          </w:tcPr>
          <w:p w:rsidR="00E13D9A" w:rsidRPr="00174008" w:rsidRDefault="00E13D9A" w:rsidP="00D731F7">
            <w:pPr>
              <w:jc w:val="center"/>
              <w:rPr>
                <w:rFonts w:asciiTheme="majorEastAsia" w:eastAsiaTheme="majorEastAsia" w:hAnsiTheme="majorEastAsia"/>
                <w:sz w:val="24"/>
                <w:szCs w:val="24"/>
              </w:rPr>
            </w:pPr>
            <w:r w:rsidRPr="00174008">
              <w:rPr>
                <w:rFonts w:asciiTheme="majorEastAsia" w:eastAsiaTheme="majorEastAsia" w:hAnsiTheme="majorEastAsia" w:hint="eastAsia"/>
                <w:sz w:val="24"/>
                <w:szCs w:val="24"/>
              </w:rPr>
              <w:t>原判认定事实正确但处理不当</w:t>
            </w:r>
          </w:p>
        </w:tc>
        <w:tc>
          <w:tcPr>
            <w:tcW w:w="2552" w:type="dxa"/>
          </w:tcPr>
          <w:p w:rsidR="00E13D9A" w:rsidRPr="00174008" w:rsidRDefault="009C4BB1" w:rsidP="00AF410E">
            <w:pPr>
              <w:jc w:val="center"/>
              <w:rPr>
                <w:rFonts w:asciiTheme="majorEastAsia" w:eastAsiaTheme="majorEastAsia" w:hAnsiTheme="majorEastAsia"/>
                <w:sz w:val="24"/>
                <w:szCs w:val="24"/>
              </w:rPr>
            </w:pPr>
            <w:r w:rsidRPr="00174008">
              <w:rPr>
                <w:rFonts w:asciiTheme="majorEastAsia" w:eastAsiaTheme="majorEastAsia" w:hAnsiTheme="majorEastAsia" w:hint="eastAsia"/>
                <w:sz w:val="24"/>
                <w:szCs w:val="24"/>
              </w:rPr>
              <w:t>3</w:t>
            </w:r>
          </w:p>
        </w:tc>
        <w:tc>
          <w:tcPr>
            <w:tcW w:w="2977" w:type="dxa"/>
          </w:tcPr>
          <w:p w:rsidR="00E13D9A" w:rsidRPr="00174008" w:rsidRDefault="001064A0" w:rsidP="00D731F7">
            <w:pPr>
              <w:jc w:val="center"/>
              <w:rPr>
                <w:rFonts w:asciiTheme="majorEastAsia" w:eastAsiaTheme="majorEastAsia" w:hAnsiTheme="majorEastAsia"/>
                <w:sz w:val="24"/>
                <w:szCs w:val="24"/>
              </w:rPr>
            </w:pPr>
            <w:r w:rsidRPr="00174008">
              <w:rPr>
                <w:rFonts w:asciiTheme="majorEastAsia" w:eastAsiaTheme="majorEastAsia" w:hAnsiTheme="majorEastAsia" w:hint="eastAsia"/>
                <w:sz w:val="24"/>
                <w:szCs w:val="24"/>
              </w:rPr>
              <w:t>30</w:t>
            </w:r>
          </w:p>
        </w:tc>
      </w:tr>
      <w:tr w:rsidR="009C4BB1" w:rsidRPr="00174008" w:rsidTr="00D731F7">
        <w:tc>
          <w:tcPr>
            <w:tcW w:w="3510" w:type="dxa"/>
          </w:tcPr>
          <w:p w:rsidR="009C4BB1" w:rsidRPr="00174008" w:rsidRDefault="009C4BB1" w:rsidP="00D731F7">
            <w:pPr>
              <w:jc w:val="center"/>
              <w:rPr>
                <w:rFonts w:asciiTheme="majorEastAsia" w:eastAsiaTheme="majorEastAsia" w:hAnsiTheme="majorEastAsia"/>
                <w:sz w:val="24"/>
                <w:szCs w:val="24"/>
              </w:rPr>
            </w:pPr>
            <w:r w:rsidRPr="00174008">
              <w:rPr>
                <w:rFonts w:asciiTheme="majorEastAsia" w:eastAsiaTheme="majorEastAsia" w:hAnsiTheme="majorEastAsia" w:hint="eastAsia"/>
                <w:sz w:val="24"/>
                <w:szCs w:val="24"/>
              </w:rPr>
              <w:t>出现新的证据</w:t>
            </w:r>
          </w:p>
        </w:tc>
        <w:tc>
          <w:tcPr>
            <w:tcW w:w="2552" w:type="dxa"/>
          </w:tcPr>
          <w:p w:rsidR="009C4BB1" w:rsidRPr="00174008" w:rsidRDefault="0023692C" w:rsidP="00AF410E">
            <w:pPr>
              <w:jc w:val="center"/>
              <w:rPr>
                <w:rFonts w:asciiTheme="majorEastAsia" w:eastAsiaTheme="majorEastAsia" w:hAnsiTheme="majorEastAsia"/>
                <w:sz w:val="24"/>
                <w:szCs w:val="24"/>
              </w:rPr>
            </w:pPr>
            <w:r w:rsidRPr="00174008">
              <w:rPr>
                <w:rFonts w:asciiTheme="majorEastAsia" w:eastAsiaTheme="majorEastAsia" w:hAnsiTheme="majorEastAsia" w:hint="eastAsia"/>
                <w:sz w:val="24"/>
                <w:szCs w:val="24"/>
              </w:rPr>
              <w:t>1</w:t>
            </w:r>
          </w:p>
        </w:tc>
        <w:tc>
          <w:tcPr>
            <w:tcW w:w="2977" w:type="dxa"/>
          </w:tcPr>
          <w:p w:rsidR="009C4BB1" w:rsidRPr="00174008" w:rsidRDefault="001064A0" w:rsidP="00D731F7">
            <w:pPr>
              <w:jc w:val="center"/>
              <w:rPr>
                <w:rFonts w:asciiTheme="majorEastAsia" w:eastAsiaTheme="majorEastAsia" w:hAnsiTheme="majorEastAsia"/>
                <w:sz w:val="24"/>
                <w:szCs w:val="24"/>
              </w:rPr>
            </w:pPr>
            <w:r w:rsidRPr="00174008">
              <w:rPr>
                <w:rFonts w:asciiTheme="majorEastAsia" w:eastAsiaTheme="majorEastAsia" w:hAnsiTheme="majorEastAsia" w:hint="eastAsia"/>
                <w:sz w:val="24"/>
                <w:szCs w:val="24"/>
              </w:rPr>
              <w:t>10</w:t>
            </w:r>
          </w:p>
        </w:tc>
      </w:tr>
    </w:tbl>
    <w:p w:rsidR="00FD3582" w:rsidRPr="00174008" w:rsidRDefault="00FD3582" w:rsidP="00FD3582">
      <w:pPr>
        <w:snapToGrid w:val="0"/>
        <w:spacing w:line="360" w:lineRule="auto"/>
        <w:rPr>
          <w:rFonts w:asciiTheme="majorEastAsia" w:eastAsiaTheme="majorEastAsia" w:hAnsiTheme="majorEastAsia"/>
          <w:b/>
          <w:color w:val="000000"/>
        </w:rPr>
      </w:pPr>
    </w:p>
    <w:p w:rsidR="00FD3582" w:rsidRPr="00174008" w:rsidRDefault="00FD3582" w:rsidP="00FD3582">
      <w:pPr>
        <w:snapToGrid w:val="0"/>
        <w:spacing w:line="360" w:lineRule="auto"/>
        <w:rPr>
          <w:rFonts w:asciiTheme="majorEastAsia" w:eastAsiaTheme="majorEastAsia" w:hAnsiTheme="majorEastAsia"/>
          <w:b/>
          <w:color w:val="000000"/>
        </w:rPr>
      </w:pPr>
    </w:p>
    <w:p w:rsidR="00FD3582" w:rsidRPr="00174008" w:rsidRDefault="00FD3582" w:rsidP="00FD3582">
      <w:pPr>
        <w:snapToGrid w:val="0"/>
        <w:spacing w:line="360" w:lineRule="auto"/>
        <w:rPr>
          <w:rFonts w:asciiTheme="majorEastAsia" w:eastAsiaTheme="majorEastAsia" w:hAnsiTheme="majorEastAsia"/>
          <w:b/>
          <w:color w:val="000000"/>
        </w:rPr>
      </w:pPr>
    </w:p>
    <w:p w:rsidR="00FD3582" w:rsidRPr="00174008" w:rsidRDefault="00FD3582" w:rsidP="00FD3582">
      <w:pPr>
        <w:snapToGrid w:val="0"/>
        <w:spacing w:line="360" w:lineRule="auto"/>
        <w:rPr>
          <w:rFonts w:asciiTheme="majorEastAsia" w:eastAsiaTheme="majorEastAsia" w:hAnsiTheme="majorEastAsia"/>
          <w:b/>
          <w:color w:val="000000"/>
        </w:rPr>
      </w:pPr>
    </w:p>
    <w:p w:rsidR="00D300CA" w:rsidRPr="00174008" w:rsidRDefault="00D300CA" w:rsidP="00FD3582">
      <w:pPr>
        <w:snapToGrid w:val="0"/>
        <w:spacing w:line="360" w:lineRule="auto"/>
        <w:rPr>
          <w:rFonts w:asciiTheme="majorEastAsia" w:eastAsiaTheme="majorEastAsia" w:hAnsiTheme="majorEastAsia"/>
          <w:color w:val="000000"/>
        </w:rPr>
      </w:pPr>
      <w:r w:rsidRPr="00174008">
        <w:rPr>
          <w:rFonts w:asciiTheme="majorEastAsia" w:eastAsiaTheme="majorEastAsia" w:hAnsiTheme="majorEastAsia" w:hint="eastAsia"/>
          <w:b/>
          <w:color w:val="000000"/>
        </w:rPr>
        <w:t>（三）法官办案情况</w:t>
      </w:r>
    </w:p>
    <w:p w:rsidR="00E63BD4" w:rsidRPr="00174008" w:rsidRDefault="00636A9E" w:rsidP="00D300CA">
      <w:pPr>
        <w:snapToGrid w:val="0"/>
        <w:spacing w:line="360" w:lineRule="auto"/>
        <w:ind w:firstLineChars="200" w:firstLine="640"/>
        <w:rPr>
          <w:rFonts w:asciiTheme="majorEastAsia" w:eastAsiaTheme="majorEastAsia" w:hAnsiTheme="majorEastAsia"/>
          <w:color w:val="000000"/>
        </w:rPr>
      </w:pPr>
      <w:r w:rsidRPr="00174008">
        <w:rPr>
          <w:rFonts w:asciiTheme="majorEastAsia" w:eastAsiaTheme="majorEastAsia" w:hAnsiTheme="majorEastAsia" w:hint="eastAsia"/>
          <w:color w:val="000000"/>
        </w:rPr>
        <w:t>2017年</w:t>
      </w:r>
      <w:r w:rsidR="003B6014" w:rsidRPr="00174008">
        <w:rPr>
          <w:rFonts w:asciiTheme="majorEastAsia" w:eastAsiaTheme="majorEastAsia" w:hAnsiTheme="majorEastAsia" w:hint="eastAsia"/>
          <w:color w:val="000000"/>
        </w:rPr>
        <w:t>上半年</w:t>
      </w:r>
      <w:r w:rsidR="0038110A" w:rsidRPr="00174008">
        <w:rPr>
          <w:rFonts w:asciiTheme="majorEastAsia" w:eastAsiaTheme="majorEastAsia" w:hAnsiTheme="majorEastAsia" w:hint="eastAsia"/>
          <w:color w:val="000000"/>
        </w:rPr>
        <w:t>和龙市人民法院</w:t>
      </w:r>
      <w:r w:rsidR="00311C34" w:rsidRPr="00174008">
        <w:rPr>
          <w:rFonts w:asciiTheme="majorEastAsia" w:eastAsiaTheme="majorEastAsia" w:hAnsiTheme="majorEastAsia" w:hint="eastAsia"/>
          <w:color w:val="000000"/>
        </w:rPr>
        <w:t>进入员额法官</w:t>
      </w:r>
      <w:r w:rsidR="00934704" w:rsidRPr="00174008">
        <w:rPr>
          <w:rFonts w:asciiTheme="majorEastAsia" w:eastAsiaTheme="majorEastAsia" w:hAnsiTheme="majorEastAsia" w:hint="eastAsia"/>
          <w:color w:val="000000"/>
        </w:rPr>
        <w:t>25</w:t>
      </w:r>
      <w:r w:rsidR="00311C34" w:rsidRPr="00174008">
        <w:rPr>
          <w:rFonts w:asciiTheme="majorEastAsia" w:eastAsiaTheme="majorEastAsia" w:hAnsiTheme="majorEastAsia" w:hint="eastAsia"/>
          <w:color w:val="000000"/>
        </w:rPr>
        <w:t>人，</w:t>
      </w:r>
      <w:r w:rsidR="00D300CA" w:rsidRPr="00174008">
        <w:rPr>
          <w:rFonts w:asciiTheme="majorEastAsia" w:eastAsiaTheme="majorEastAsia" w:hAnsiTheme="majorEastAsia" w:hint="eastAsia"/>
          <w:color w:val="000000"/>
        </w:rPr>
        <w:t>员额法官人均收案数</w:t>
      </w:r>
      <w:r w:rsidR="00934704" w:rsidRPr="00174008">
        <w:rPr>
          <w:rFonts w:asciiTheme="majorEastAsia" w:eastAsiaTheme="majorEastAsia" w:hAnsiTheme="majorEastAsia" w:hint="eastAsia"/>
          <w:color w:val="000000"/>
        </w:rPr>
        <w:t>57.85</w:t>
      </w:r>
      <w:r w:rsidR="00114048" w:rsidRPr="00174008">
        <w:rPr>
          <w:rFonts w:asciiTheme="majorEastAsia" w:eastAsiaTheme="majorEastAsia" w:hAnsiTheme="majorEastAsia" w:hint="eastAsia"/>
          <w:color w:val="000000"/>
        </w:rPr>
        <w:t>件</w:t>
      </w:r>
      <w:r w:rsidR="00783BB0" w:rsidRPr="00174008">
        <w:rPr>
          <w:rFonts w:asciiTheme="majorEastAsia" w:eastAsiaTheme="majorEastAsia" w:hAnsiTheme="majorEastAsia" w:hint="eastAsia"/>
          <w:color w:val="000000"/>
        </w:rPr>
        <w:t>；</w:t>
      </w:r>
      <w:r w:rsidR="00D300CA" w:rsidRPr="00174008">
        <w:rPr>
          <w:rFonts w:asciiTheme="majorEastAsia" w:eastAsiaTheme="majorEastAsia" w:hAnsiTheme="majorEastAsia" w:hint="eastAsia"/>
          <w:color w:val="000000"/>
        </w:rPr>
        <w:t>员额法官人均结案数</w:t>
      </w:r>
      <w:r w:rsidR="00934704" w:rsidRPr="00174008">
        <w:rPr>
          <w:rFonts w:asciiTheme="majorEastAsia" w:eastAsiaTheme="majorEastAsia" w:hAnsiTheme="majorEastAsia" w:hint="eastAsia"/>
          <w:color w:val="000000"/>
        </w:rPr>
        <w:t>38.04</w:t>
      </w:r>
      <w:r w:rsidR="00114048" w:rsidRPr="00174008">
        <w:rPr>
          <w:rFonts w:asciiTheme="majorEastAsia" w:eastAsiaTheme="majorEastAsia" w:hAnsiTheme="majorEastAsia" w:hint="eastAsia"/>
          <w:color w:val="000000"/>
        </w:rPr>
        <w:t>件</w:t>
      </w:r>
      <w:r w:rsidR="00D300CA" w:rsidRPr="00174008">
        <w:rPr>
          <w:rFonts w:asciiTheme="majorEastAsia" w:eastAsiaTheme="majorEastAsia" w:hAnsiTheme="majorEastAsia" w:hint="eastAsia"/>
          <w:color w:val="000000"/>
        </w:rPr>
        <w:t>。</w:t>
      </w:r>
    </w:p>
    <w:p w:rsidR="007E3933" w:rsidRPr="00174008" w:rsidRDefault="00636A9E" w:rsidP="00170448">
      <w:pPr>
        <w:snapToGrid w:val="0"/>
        <w:spacing w:line="360" w:lineRule="auto"/>
        <w:ind w:firstLineChars="200" w:firstLine="640"/>
        <w:rPr>
          <w:rFonts w:asciiTheme="majorEastAsia" w:eastAsiaTheme="majorEastAsia" w:hAnsiTheme="majorEastAsia"/>
          <w:color w:val="000000"/>
        </w:rPr>
      </w:pPr>
      <w:r w:rsidRPr="00174008">
        <w:rPr>
          <w:rFonts w:asciiTheme="majorEastAsia" w:eastAsiaTheme="majorEastAsia" w:hAnsiTheme="majorEastAsia" w:hint="eastAsia"/>
          <w:color w:val="000000"/>
        </w:rPr>
        <w:t>2017年</w:t>
      </w:r>
      <w:r w:rsidR="003B6014" w:rsidRPr="00174008">
        <w:rPr>
          <w:rFonts w:asciiTheme="majorEastAsia" w:eastAsiaTheme="majorEastAsia" w:hAnsiTheme="majorEastAsia" w:hint="eastAsia"/>
          <w:color w:val="000000"/>
        </w:rPr>
        <w:t>上半年</w:t>
      </w:r>
      <w:r w:rsidR="00357A8F" w:rsidRPr="00174008">
        <w:rPr>
          <w:rFonts w:asciiTheme="majorEastAsia" w:eastAsiaTheme="majorEastAsia" w:hAnsiTheme="majorEastAsia" w:hint="eastAsia"/>
          <w:color w:val="000000"/>
        </w:rPr>
        <w:t>和龙市人民法院进入员额的</w:t>
      </w:r>
      <w:r w:rsidR="004E4A82" w:rsidRPr="00174008">
        <w:rPr>
          <w:rFonts w:asciiTheme="majorEastAsia" w:eastAsiaTheme="majorEastAsia" w:hAnsiTheme="majorEastAsia" w:hint="eastAsia"/>
          <w:color w:val="000000"/>
        </w:rPr>
        <w:t>7</w:t>
      </w:r>
      <w:r w:rsidR="00357A8F" w:rsidRPr="00174008">
        <w:rPr>
          <w:rFonts w:asciiTheme="majorEastAsia" w:eastAsiaTheme="majorEastAsia" w:hAnsiTheme="majorEastAsia" w:hint="eastAsia"/>
          <w:color w:val="000000"/>
        </w:rPr>
        <w:t>名院领导共承</w:t>
      </w:r>
      <w:r w:rsidR="00311C34" w:rsidRPr="00174008">
        <w:rPr>
          <w:rFonts w:asciiTheme="majorEastAsia" w:eastAsiaTheme="majorEastAsia" w:hAnsiTheme="majorEastAsia" w:hint="eastAsia"/>
          <w:color w:val="000000"/>
        </w:rPr>
        <w:t>件</w:t>
      </w:r>
      <w:r w:rsidR="00CE6710" w:rsidRPr="00174008">
        <w:rPr>
          <w:rFonts w:asciiTheme="majorEastAsia" w:eastAsiaTheme="majorEastAsia" w:hAnsiTheme="majorEastAsia" w:hint="eastAsia"/>
          <w:color w:val="000000"/>
        </w:rPr>
        <w:t>3</w:t>
      </w:r>
      <w:r w:rsidR="00047AF6" w:rsidRPr="00174008">
        <w:rPr>
          <w:rFonts w:asciiTheme="majorEastAsia" w:eastAsiaTheme="majorEastAsia" w:hAnsiTheme="majorEastAsia" w:hint="eastAsia"/>
          <w:color w:val="000000"/>
        </w:rPr>
        <w:t>2</w:t>
      </w:r>
      <w:r w:rsidR="00437B5E" w:rsidRPr="00174008">
        <w:rPr>
          <w:rFonts w:asciiTheme="majorEastAsia" w:eastAsiaTheme="majorEastAsia" w:hAnsiTheme="majorEastAsia" w:hint="eastAsia"/>
          <w:color w:val="000000"/>
        </w:rPr>
        <w:t>件，人均收案</w:t>
      </w:r>
      <w:r w:rsidR="00CE6710" w:rsidRPr="00174008">
        <w:rPr>
          <w:rFonts w:asciiTheme="majorEastAsia" w:eastAsiaTheme="majorEastAsia" w:hAnsiTheme="majorEastAsia" w:hint="eastAsia"/>
          <w:color w:val="000000"/>
        </w:rPr>
        <w:t>4.57</w:t>
      </w:r>
      <w:r w:rsidR="00437B5E" w:rsidRPr="00174008">
        <w:rPr>
          <w:rFonts w:asciiTheme="majorEastAsia" w:eastAsiaTheme="majorEastAsia" w:hAnsiTheme="majorEastAsia" w:hint="eastAsia"/>
          <w:color w:val="000000"/>
        </w:rPr>
        <w:t>件；结案</w:t>
      </w:r>
      <w:r w:rsidR="00CE6710" w:rsidRPr="00174008">
        <w:rPr>
          <w:rFonts w:asciiTheme="majorEastAsia" w:eastAsiaTheme="majorEastAsia" w:hAnsiTheme="majorEastAsia" w:hint="eastAsia"/>
          <w:color w:val="000000"/>
        </w:rPr>
        <w:t>52</w:t>
      </w:r>
      <w:r w:rsidR="00437B5E" w:rsidRPr="00174008">
        <w:rPr>
          <w:rFonts w:asciiTheme="majorEastAsia" w:eastAsiaTheme="majorEastAsia" w:hAnsiTheme="majorEastAsia" w:hint="eastAsia"/>
          <w:color w:val="000000"/>
        </w:rPr>
        <w:t>件，人均结案</w:t>
      </w:r>
      <w:r w:rsidR="00CE6710" w:rsidRPr="00174008">
        <w:rPr>
          <w:rFonts w:asciiTheme="majorEastAsia" w:eastAsiaTheme="majorEastAsia" w:hAnsiTheme="majorEastAsia" w:hint="eastAsia"/>
          <w:color w:val="000000"/>
        </w:rPr>
        <w:t>7.43</w:t>
      </w:r>
      <w:r w:rsidR="001F2BB7" w:rsidRPr="00174008">
        <w:rPr>
          <w:rFonts w:asciiTheme="majorEastAsia" w:eastAsiaTheme="majorEastAsia" w:hAnsiTheme="majorEastAsia" w:hint="eastAsia"/>
          <w:color w:val="000000"/>
        </w:rPr>
        <w:t>件</w:t>
      </w:r>
      <w:r w:rsidR="00FD3582" w:rsidRPr="00174008">
        <w:rPr>
          <w:rFonts w:asciiTheme="majorEastAsia" w:eastAsiaTheme="majorEastAsia" w:hAnsiTheme="majorEastAsia" w:hint="eastAsia"/>
          <w:color w:val="000000"/>
        </w:rPr>
        <w:t>（不包括执行新系统）</w:t>
      </w:r>
      <w:r w:rsidR="001F2BB7" w:rsidRPr="00174008">
        <w:rPr>
          <w:rFonts w:asciiTheme="majorEastAsia" w:eastAsiaTheme="majorEastAsia" w:hAnsiTheme="majorEastAsia" w:hint="eastAsia"/>
          <w:color w:val="000000"/>
        </w:rPr>
        <w:t xml:space="preserve">。 </w:t>
      </w:r>
    </w:p>
    <w:p w:rsidR="00323AB1" w:rsidRPr="00174008" w:rsidRDefault="00323AB1" w:rsidP="00323AB1">
      <w:pPr>
        <w:snapToGrid w:val="0"/>
        <w:spacing w:line="360" w:lineRule="auto"/>
        <w:ind w:firstLineChars="200" w:firstLine="260"/>
        <w:rPr>
          <w:rFonts w:asciiTheme="majorEastAsia" w:eastAsiaTheme="majorEastAsia" w:hAnsiTheme="majorEastAsia"/>
          <w:color w:val="000000"/>
          <w:sz w:val="13"/>
          <w:szCs w:val="13"/>
        </w:rPr>
      </w:pPr>
    </w:p>
    <w:tbl>
      <w:tblPr>
        <w:tblW w:w="10060" w:type="dxa"/>
        <w:jc w:val="center"/>
        <w:tblLayout w:type="fixed"/>
        <w:tblCellMar>
          <w:left w:w="0" w:type="dxa"/>
          <w:right w:w="0" w:type="dxa"/>
        </w:tblCellMar>
        <w:tblLook w:val="04A0"/>
      </w:tblPr>
      <w:tblGrid>
        <w:gridCol w:w="719"/>
        <w:gridCol w:w="797"/>
        <w:gridCol w:w="402"/>
        <w:gridCol w:w="72"/>
        <w:gridCol w:w="388"/>
        <w:gridCol w:w="87"/>
        <w:gridCol w:w="353"/>
        <w:gridCol w:w="122"/>
        <w:gridCol w:w="338"/>
        <w:gridCol w:w="136"/>
        <w:gridCol w:w="344"/>
        <w:gridCol w:w="131"/>
        <w:gridCol w:w="329"/>
        <w:gridCol w:w="146"/>
        <w:gridCol w:w="274"/>
        <w:gridCol w:w="200"/>
        <w:gridCol w:w="280"/>
        <w:gridCol w:w="195"/>
        <w:gridCol w:w="245"/>
        <w:gridCol w:w="230"/>
        <w:gridCol w:w="290"/>
        <w:gridCol w:w="184"/>
        <w:gridCol w:w="276"/>
        <w:gridCol w:w="199"/>
        <w:gridCol w:w="301"/>
        <w:gridCol w:w="174"/>
        <w:gridCol w:w="306"/>
        <w:gridCol w:w="168"/>
        <w:gridCol w:w="312"/>
        <w:gridCol w:w="163"/>
        <w:gridCol w:w="317"/>
        <w:gridCol w:w="158"/>
        <w:gridCol w:w="262"/>
        <w:gridCol w:w="212"/>
        <w:gridCol w:w="368"/>
        <w:gridCol w:w="107"/>
        <w:gridCol w:w="475"/>
      </w:tblGrid>
      <w:tr w:rsidR="00170448" w:rsidRPr="00174008" w:rsidTr="00CF31AB">
        <w:trPr>
          <w:trHeight w:val="315"/>
          <w:jc w:val="center"/>
        </w:trPr>
        <w:tc>
          <w:tcPr>
            <w:tcW w:w="719" w:type="dxa"/>
            <w:vMerge w:val="restar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0448" w:rsidRPr="00174008" w:rsidRDefault="00170448" w:rsidP="00100381">
            <w:pPr>
              <w:jc w:val="center"/>
              <w:rPr>
                <w:rFonts w:asciiTheme="majorEastAsia" w:eastAsiaTheme="majorEastAsia" w:hAnsiTheme="majorEastAsia" w:cs="Arial"/>
                <w:b/>
                <w:bCs/>
                <w:color w:val="000000"/>
                <w:sz w:val="18"/>
                <w:szCs w:val="18"/>
              </w:rPr>
            </w:pPr>
            <w:r w:rsidRPr="00174008">
              <w:rPr>
                <w:rFonts w:asciiTheme="majorEastAsia" w:eastAsiaTheme="majorEastAsia" w:hAnsiTheme="majorEastAsia" w:cs="Arial"/>
                <w:b/>
                <w:bCs/>
                <w:color w:val="000000"/>
                <w:sz w:val="18"/>
                <w:szCs w:val="18"/>
              </w:rPr>
              <w:t>姓名</w:t>
            </w:r>
          </w:p>
        </w:tc>
        <w:tc>
          <w:tcPr>
            <w:tcW w:w="797" w:type="dxa"/>
            <w:vMerge w:val="restar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0448" w:rsidRPr="00174008" w:rsidRDefault="00170448" w:rsidP="00100381">
            <w:pPr>
              <w:jc w:val="center"/>
              <w:rPr>
                <w:rFonts w:asciiTheme="majorEastAsia" w:eastAsiaTheme="majorEastAsia" w:hAnsiTheme="majorEastAsia" w:cs="Arial"/>
                <w:b/>
                <w:bCs/>
                <w:color w:val="000000"/>
                <w:sz w:val="18"/>
                <w:szCs w:val="18"/>
              </w:rPr>
            </w:pPr>
            <w:r w:rsidRPr="00174008">
              <w:rPr>
                <w:rFonts w:asciiTheme="majorEastAsia" w:eastAsiaTheme="majorEastAsia" w:hAnsiTheme="majorEastAsia" w:cs="Arial"/>
                <w:b/>
                <w:bCs/>
                <w:color w:val="000000"/>
                <w:sz w:val="18"/>
                <w:szCs w:val="18"/>
              </w:rPr>
              <w:t>职务</w:t>
            </w:r>
          </w:p>
        </w:tc>
        <w:tc>
          <w:tcPr>
            <w:tcW w:w="949" w:type="dxa"/>
            <w:gridSpan w:val="4"/>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0448" w:rsidRPr="00174008" w:rsidRDefault="00170448" w:rsidP="00100381">
            <w:pPr>
              <w:jc w:val="center"/>
              <w:rPr>
                <w:rFonts w:asciiTheme="majorEastAsia" w:eastAsiaTheme="majorEastAsia" w:hAnsiTheme="majorEastAsia" w:cs="Arial"/>
                <w:b/>
                <w:bCs/>
                <w:color w:val="000000"/>
                <w:sz w:val="18"/>
                <w:szCs w:val="18"/>
              </w:rPr>
            </w:pPr>
            <w:r w:rsidRPr="00174008">
              <w:rPr>
                <w:rFonts w:asciiTheme="majorEastAsia" w:eastAsiaTheme="majorEastAsia" w:hAnsiTheme="majorEastAsia" w:cs="Arial"/>
                <w:b/>
                <w:bCs/>
                <w:color w:val="000000"/>
                <w:sz w:val="18"/>
                <w:szCs w:val="18"/>
              </w:rPr>
              <w:t>承办案件</w:t>
            </w:r>
          </w:p>
        </w:tc>
        <w:tc>
          <w:tcPr>
            <w:tcW w:w="949" w:type="dxa"/>
            <w:gridSpan w:val="4"/>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0448" w:rsidRPr="00174008" w:rsidRDefault="00170448" w:rsidP="00100381">
            <w:pPr>
              <w:jc w:val="center"/>
              <w:rPr>
                <w:rFonts w:asciiTheme="majorEastAsia" w:eastAsiaTheme="majorEastAsia" w:hAnsiTheme="majorEastAsia" w:cs="Arial"/>
                <w:b/>
                <w:bCs/>
                <w:color w:val="000000"/>
                <w:sz w:val="18"/>
                <w:szCs w:val="18"/>
              </w:rPr>
            </w:pPr>
            <w:r w:rsidRPr="00174008">
              <w:rPr>
                <w:rFonts w:asciiTheme="majorEastAsia" w:eastAsiaTheme="majorEastAsia" w:hAnsiTheme="majorEastAsia" w:cs="Arial"/>
                <w:b/>
                <w:bCs/>
                <w:color w:val="000000"/>
                <w:sz w:val="18"/>
                <w:szCs w:val="18"/>
              </w:rPr>
              <w:t>合议案件</w:t>
            </w:r>
          </w:p>
        </w:tc>
        <w:tc>
          <w:tcPr>
            <w:tcW w:w="950" w:type="dxa"/>
            <w:gridSpan w:val="4"/>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0448" w:rsidRPr="00174008" w:rsidRDefault="00170448" w:rsidP="00100381">
            <w:pPr>
              <w:jc w:val="center"/>
              <w:rPr>
                <w:rFonts w:asciiTheme="majorEastAsia" w:eastAsiaTheme="majorEastAsia" w:hAnsiTheme="majorEastAsia" w:cs="Arial"/>
                <w:b/>
                <w:bCs/>
                <w:color w:val="000000"/>
                <w:sz w:val="18"/>
                <w:szCs w:val="18"/>
              </w:rPr>
            </w:pPr>
            <w:r w:rsidRPr="00174008">
              <w:rPr>
                <w:rFonts w:asciiTheme="majorEastAsia" w:eastAsiaTheme="majorEastAsia" w:hAnsiTheme="majorEastAsia" w:cs="Arial"/>
                <w:b/>
                <w:bCs/>
                <w:color w:val="000000"/>
                <w:sz w:val="18"/>
                <w:szCs w:val="18"/>
              </w:rPr>
              <w:t>总计</w:t>
            </w:r>
          </w:p>
        </w:tc>
        <w:tc>
          <w:tcPr>
            <w:tcW w:w="949" w:type="dxa"/>
            <w:gridSpan w:val="4"/>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0448" w:rsidRPr="00174008" w:rsidRDefault="00170448" w:rsidP="00100381">
            <w:pPr>
              <w:jc w:val="center"/>
              <w:rPr>
                <w:rFonts w:asciiTheme="majorEastAsia" w:eastAsiaTheme="majorEastAsia" w:hAnsiTheme="majorEastAsia" w:cs="Arial"/>
                <w:b/>
                <w:bCs/>
                <w:color w:val="000000"/>
                <w:sz w:val="18"/>
                <w:szCs w:val="18"/>
              </w:rPr>
            </w:pPr>
            <w:r w:rsidRPr="00174008">
              <w:rPr>
                <w:rFonts w:asciiTheme="majorEastAsia" w:eastAsiaTheme="majorEastAsia" w:hAnsiTheme="majorEastAsia" w:cs="Arial"/>
                <w:b/>
                <w:bCs/>
                <w:color w:val="000000"/>
                <w:sz w:val="18"/>
                <w:szCs w:val="18"/>
              </w:rPr>
              <w:t>刑事</w:t>
            </w:r>
          </w:p>
        </w:tc>
        <w:tc>
          <w:tcPr>
            <w:tcW w:w="949" w:type="dxa"/>
            <w:gridSpan w:val="4"/>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0448" w:rsidRPr="00174008" w:rsidRDefault="00170448" w:rsidP="00100381">
            <w:pPr>
              <w:jc w:val="center"/>
              <w:rPr>
                <w:rFonts w:asciiTheme="majorEastAsia" w:eastAsiaTheme="majorEastAsia" w:hAnsiTheme="majorEastAsia" w:cs="Arial"/>
                <w:b/>
                <w:bCs/>
                <w:color w:val="000000"/>
                <w:sz w:val="18"/>
                <w:szCs w:val="18"/>
              </w:rPr>
            </w:pPr>
            <w:r w:rsidRPr="00174008">
              <w:rPr>
                <w:rFonts w:asciiTheme="majorEastAsia" w:eastAsiaTheme="majorEastAsia" w:hAnsiTheme="majorEastAsia" w:cs="Arial"/>
                <w:b/>
                <w:bCs/>
                <w:color w:val="000000"/>
                <w:sz w:val="18"/>
                <w:szCs w:val="18"/>
              </w:rPr>
              <w:t>民事</w:t>
            </w:r>
          </w:p>
        </w:tc>
        <w:tc>
          <w:tcPr>
            <w:tcW w:w="950" w:type="dxa"/>
            <w:gridSpan w:val="4"/>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0448" w:rsidRPr="00174008" w:rsidRDefault="00170448" w:rsidP="00100381">
            <w:pPr>
              <w:jc w:val="center"/>
              <w:rPr>
                <w:rFonts w:asciiTheme="majorEastAsia" w:eastAsiaTheme="majorEastAsia" w:hAnsiTheme="majorEastAsia" w:cs="Arial"/>
                <w:b/>
                <w:bCs/>
                <w:color w:val="000000"/>
                <w:sz w:val="18"/>
                <w:szCs w:val="18"/>
              </w:rPr>
            </w:pPr>
            <w:r w:rsidRPr="00174008">
              <w:rPr>
                <w:rFonts w:asciiTheme="majorEastAsia" w:eastAsiaTheme="majorEastAsia" w:hAnsiTheme="majorEastAsia" w:cs="Arial"/>
                <w:b/>
                <w:bCs/>
                <w:color w:val="000000"/>
                <w:sz w:val="18"/>
                <w:szCs w:val="18"/>
              </w:rPr>
              <w:t>行政</w:t>
            </w:r>
          </w:p>
        </w:tc>
        <w:tc>
          <w:tcPr>
            <w:tcW w:w="949" w:type="dxa"/>
            <w:gridSpan w:val="4"/>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0448" w:rsidRPr="00174008" w:rsidRDefault="00170448" w:rsidP="00100381">
            <w:pPr>
              <w:jc w:val="center"/>
              <w:rPr>
                <w:rFonts w:asciiTheme="majorEastAsia" w:eastAsiaTheme="majorEastAsia" w:hAnsiTheme="majorEastAsia" w:cs="Arial"/>
                <w:b/>
                <w:bCs/>
                <w:color w:val="000000"/>
                <w:sz w:val="18"/>
                <w:szCs w:val="18"/>
              </w:rPr>
            </w:pPr>
            <w:r w:rsidRPr="00174008">
              <w:rPr>
                <w:rFonts w:asciiTheme="majorEastAsia" w:eastAsiaTheme="majorEastAsia" w:hAnsiTheme="majorEastAsia" w:cs="Arial"/>
                <w:b/>
                <w:bCs/>
                <w:color w:val="000000"/>
                <w:sz w:val="18"/>
                <w:szCs w:val="18"/>
              </w:rPr>
              <w:t>赔偿</w:t>
            </w:r>
          </w:p>
        </w:tc>
        <w:tc>
          <w:tcPr>
            <w:tcW w:w="949" w:type="dxa"/>
            <w:gridSpan w:val="4"/>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0448" w:rsidRPr="00174008" w:rsidRDefault="00170448" w:rsidP="00100381">
            <w:pPr>
              <w:jc w:val="center"/>
              <w:rPr>
                <w:rFonts w:asciiTheme="majorEastAsia" w:eastAsiaTheme="majorEastAsia" w:hAnsiTheme="majorEastAsia" w:cs="Arial"/>
                <w:b/>
                <w:bCs/>
                <w:color w:val="000000"/>
                <w:sz w:val="18"/>
                <w:szCs w:val="18"/>
              </w:rPr>
            </w:pPr>
            <w:r w:rsidRPr="00174008">
              <w:rPr>
                <w:rFonts w:asciiTheme="majorEastAsia" w:eastAsiaTheme="majorEastAsia" w:hAnsiTheme="majorEastAsia" w:cs="Arial"/>
                <w:b/>
                <w:bCs/>
                <w:color w:val="000000"/>
                <w:sz w:val="18"/>
                <w:szCs w:val="18"/>
              </w:rPr>
              <w:t>执行</w:t>
            </w:r>
          </w:p>
        </w:tc>
        <w:tc>
          <w:tcPr>
            <w:tcW w:w="950" w:type="dxa"/>
            <w:gridSpan w:val="3"/>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0448" w:rsidRPr="00174008" w:rsidRDefault="00170448" w:rsidP="00100381">
            <w:pPr>
              <w:jc w:val="center"/>
              <w:rPr>
                <w:rFonts w:asciiTheme="majorEastAsia" w:eastAsiaTheme="majorEastAsia" w:hAnsiTheme="majorEastAsia" w:cs="Arial"/>
                <w:b/>
                <w:bCs/>
                <w:color w:val="000000"/>
                <w:sz w:val="18"/>
                <w:szCs w:val="18"/>
              </w:rPr>
            </w:pPr>
            <w:r w:rsidRPr="00174008">
              <w:rPr>
                <w:rFonts w:asciiTheme="majorEastAsia" w:eastAsiaTheme="majorEastAsia" w:hAnsiTheme="majorEastAsia" w:cs="Arial"/>
                <w:b/>
                <w:bCs/>
                <w:color w:val="000000"/>
                <w:sz w:val="18"/>
                <w:szCs w:val="18"/>
              </w:rPr>
              <w:t>审查监督</w:t>
            </w:r>
          </w:p>
        </w:tc>
      </w:tr>
      <w:tr w:rsidR="00170448" w:rsidRPr="00174008" w:rsidTr="00CF31AB">
        <w:trPr>
          <w:trHeight w:val="315"/>
          <w:jc w:val="center"/>
        </w:trPr>
        <w:tc>
          <w:tcPr>
            <w:tcW w:w="719" w:type="dxa"/>
            <w:vMerge/>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0448" w:rsidRPr="00174008" w:rsidRDefault="00170448" w:rsidP="00100381">
            <w:pPr>
              <w:rPr>
                <w:rFonts w:asciiTheme="majorEastAsia" w:eastAsiaTheme="majorEastAsia" w:hAnsiTheme="majorEastAsia" w:cs="Arial"/>
                <w:b/>
                <w:bCs/>
                <w:color w:val="000000"/>
                <w:sz w:val="18"/>
                <w:szCs w:val="18"/>
              </w:rPr>
            </w:pPr>
          </w:p>
        </w:tc>
        <w:tc>
          <w:tcPr>
            <w:tcW w:w="797" w:type="dxa"/>
            <w:vMerge/>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0448" w:rsidRPr="00174008" w:rsidRDefault="00170448" w:rsidP="00100381">
            <w:pPr>
              <w:rPr>
                <w:rFonts w:asciiTheme="majorEastAsia" w:eastAsiaTheme="majorEastAsia" w:hAnsiTheme="majorEastAsia" w:cs="Arial"/>
                <w:b/>
                <w:bCs/>
                <w:color w:val="000000"/>
                <w:sz w:val="18"/>
                <w:szCs w:val="18"/>
              </w:rPr>
            </w:pP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0448" w:rsidRPr="00174008" w:rsidRDefault="00170448" w:rsidP="00100381">
            <w:pPr>
              <w:jc w:val="center"/>
              <w:rPr>
                <w:rFonts w:asciiTheme="majorEastAsia" w:eastAsiaTheme="majorEastAsia" w:hAnsiTheme="majorEastAsia" w:cs="Arial"/>
                <w:b/>
                <w:bCs/>
                <w:color w:val="000000"/>
                <w:sz w:val="18"/>
                <w:szCs w:val="18"/>
              </w:rPr>
            </w:pPr>
            <w:r w:rsidRPr="00174008">
              <w:rPr>
                <w:rFonts w:asciiTheme="majorEastAsia" w:eastAsiaTheme="majorEastAsia" w:hAnsiTheme="majorEastAsia" w:cs="Arial"/>
                <w:b/>
                <w:bCs/>
                <w:color w:val="000000"/>
                <w:sz w:val="18"/>
                <w:szCs w:val="18"/>
              </w:rPr>
              <w:t>收案</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0448" w:rsidRPr="00174008" w:rsidRDefault="00170448" w:rsidP="00100381">
            <w:pPr>
              <w:jc w:val="center"/>
              <w:rPr>
                <w:rFonts w:asciiTheme="majorEastAsia" w:eastAsiaTheme="majorEastAsia" w:hAnsiTheme="majorEastAsia" w:cs="Arial"/>
                <w:b/>
                <w:bCs/>
                <w:color w:val="000000"/>
                <w:sz w:val="18"/>
                <w:szCs w:val="18"/>
              </w:rPr>
            </w:pPr>
            <w:r w:rsidRPr="00174008">
              <w:rPr>
                <w:rFonts w:asciiTheme="majorEastAsia" w:eastAsiaTheme="majorEastAsia" w:hAnsiTheme="majorEastAsia" w:cs="Arial"/>
                <w:b/>
                <w:bCs/>
                <w:color w:val="000000"/>
                <w:sz w:val="18"/>
                <w:szCs w:val="18"/>
              </w:rPr>
              <w:t>结案</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0448" w:rsidRPr="00174008" w:rsidRDefault="00170448" w:rsidP="00100381">
            <w:pPr>
              <w:jc w:val="center"/>
              <w:rPr>
                <w:rFonts w:asciiTheme="majorEastAsia" w:eastAsiaTheme="majorEastAsia" w:hAnsiTheme="majorEastAsia" w:cs="Arial"/>
                <w:b/>
                <w:bCs/>
                <w:color w:val="000000"/>
                <w:sz w:val="18"/>
                <w:szCs w:val="18"/>
              </w:rPr>
            </w:pPr>
            <w:r w:rsidRPr="00174008">
              <w:rPr>
                <w:rFonts w:asciiTheme="majorEastAsia" w:eastAsiaTheme="majorEastAsia" w:hAnsiTheme="majorEastAsia" w:cs="Arial"/>
                <w:b/>
                <w:bCs/>
                <w:color w:val="000000"/>
                <w:sz w:val="18"/>
                <w:szCs w:val="18"/>
              </w:rPr>
              <w:t>收案</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0448" w:rsidRPr="00174008" w:rsidRDefault="00170448" w:rsidP="00100381">
            <w:pPr>
              <w:jc w:val="center"/>
              <w:rPr>
                <w:rFonts w:asciiTheme="majorEastAsia" w:eastAsiaTheme="majorEastAsia" w:hAnsiTheme="majorEastAsia" w:cs="Arial"/>
                <w:b/>
                <w:bCs/>
                <w:color w:val="000000"/>
                <w:sz w:val="18"/>
                <w:szCs w:val="18"/>
              </w:rPr>
            </w:pPr>
            <w:r w:rsidRPr="00174008">
              <w:rPr>
                <w:rFonts w:asciiTheme="majorEastAsia" w:eastAsiaTheme="majorEastAsia" w:hAnsiTheme="majorEastAsia" w:cs="Arial"/>
                <w:b/>
                <w:bCs/>
                <w:color w:val="000000"/>
                <w:sz w:val="18"/>
                <w:szCs w:val="18"/>
              </w:rPr>
              <w:t>结案</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0448" w:rsidRPr="00174008" w:rsidRDefault="00170448" w:rsidP="00100381">
            <w:pPr>
              <w:jc w:val="center"/>
              <w:rPr>
                <w:rFonts w:asciiTheme="majorEastAsia" w:eastAsiaTheme="majorEastAsia" w:hAnsiTheme="majorEastAsia" w:cs="Arial"/>
                <w:b/>
                <w:bCs/>
                <w:color w:val="000000"/>
                <w:sz w:val="18"/>
                <w:szCs w:val="18"/>
              </w:rPr>
            </w:pPr>
            <w:r w:rsidRPr="00174008">
              <w:rPr>
                <w:rFonts w:asciiTheme="majorEastAsia" w:eastAsiaTheme="majorEastAsia" w:hAnsiTheme="majorEastAsia" w:cs="Arial"/>
                <w:b/>
                <w:bCs/>
                <w:color w:val="000000"/>
                <w:sz w:val="18"/>
                <w:szCs w:val="18"/>
              </w:rPr>
              <w:t>收案</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0448" w:rsidRPr="00174008" w:rsidRDefault="00170448" w:rsidP="00100381">
            <w:pPr>
              <w:jc w:val="center"/>
              <w:rPr>
                <w:rFonts w:asciiTheme="majorEastAsia" w:eastAsiaTheme="majorEastAsia" w:hAnsiTheme="majorEastAsia" w:cs="Arial"/>
                <w:b/>
                <w:bCs/>
                <w:color w:val="000000"/>
                <w:sz w:val="18"/>
                <w:szCs w:val="18"/>
              </w:rPr>
            </w:pPr>
            <w:r w:rsidRPr="00174008">
              <w:rPr>
                <w:rFonts w:asciiTheme="majorEastAsia" w:eastAsiaTheme="majorEastAsia" w:hAnsiTheme="majorEastAsia" w:cs="Arial"/>
                <w:b/>
                <w:bCs/>
                <w:color w:val="000000"/>
                <w:sz w:val="18"/>
                <w:szCs w:val="18"/>
              </w:rPr>
              <w:t>结案</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0448" w:rsidRPr="00174008" w:rsidRDefault="00170448" w:rsidP="00100381">
            <w:pPr>
              <w:jc w:val="center"/>
              <w:rPr>
                <w:rFonts w:asciiTheme="majorEastAsia" w:eastAsiaTheme="majorEastAsia" w:hAnsiTheme="majorEastAsia" w:cs="Arial"/>
                <w:b/>
                <w:bCs/>
                <w:color w:val="000000"/>
                <w:sz w:val="18"/>
                <w:szCs w:val="18"/>
              </w:rPr>
            </w:pPr>
            <w:r w:rsidRPr="00174008">
              <w:rPr>
                <w:rFonts w:asciiTheme="majorEastAsia" w:eastAsiaTheme="majorEastAsia" w:hAnsiTheme="majorEastAsia" w:cs="Arial"/>
                <w:b/>
                <w:bCs/>
                <w:color w:val="000000"/>
                <w:sz w:val="18"/>
                <w:szCs w:val="18"/>
              </w:rPr>
              <w:t>收案</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0448" w:rsidRPr="00174008" w:rsidRDefault="00170448" w:rsidP="00100381">
            <w:pPr>
              <w:jc w:val="center"/>
              <w:rPr>
                <w:rFonts w:asciiTheme="majorEastAsia" w:eastAsiaTheme="majorEastAsia" w:hAnsiTheme="majorEastAsia" w:cs="Arial"/>
                <w:b/>
                <w:bCs/>
                <w:color w:val="000000"/>
                <w:sz w:val="18"/>
                <w:szCs w:val="18"/>
              </w:rPr>
            </w:pPr>
            <w:r w:rsidRPr="00174008">
              <w:rPr>
                <w:rFonts w:asciiTheme="majorEastAsia" w:eastAsiaTheme="majorEastAsia" w:hAnsiTheme="majorEastAsia" w:cs="Arial"/>
                <w:b/>
                <w:bCs/>
                <w:color w:val="000000"/>
                <w:sz w:val="18"/>
                <w:szCs w:val="18"/>
              </w:rPr>
              <w:t>结案</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0448" w:rsidRPr="00174008" w:rsidRDefault="00170448" w:rsidP="00100381">
            <w:pPr>
              <w:jc w:val="center"/>
              <w:rPr>
                <w:rFonts w:asciiTheme="majorEastAsia" w:eastAsiaTheme="majorEastAsia" w:hAnsiTheme="majorEastAsia" w:cs="Arial"/>
                <w:b/>
                <w:bCs/>
                <w:color w:val="000000"/>
                <w:sz w:val="18"/>
                <w:szCs w:val="18"/>
              </w:rPr>
            </w:pPr>
            <w:r w:rsidRPr="00174008">
              <w:rPr>
                <w:rFonts w:asciiTheme="majorEastAsia" w:eastAsiaTheme="majorEastAsia" w:hAnsiTheme="majorEastAsia" w:cs="Arial"/>
                <w:b/>
                <w:bCs/>
                <w:color w:val="000000"/>
                <w:sz w:val="18"/>
                <w:szCs w:val="18"/>
              </w:rPr>
              <w:t>收案</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0448" w:rsidRPr="00174008" w:rsidRDefault="00170448" w:rsidP="00100381">
            <w:pPr>
              <w:jc w:val="center"/>
              <w:rPr>
                <w:rFonts w:asciiTheme="majorEastAsia" w:eastAsiaTheme="majorEastAsia" w:hAnsiTheme="majorEastAsia" w:cs="Arial"/>
                <w:b/>
                <w:bCs/>
                <w:color w:val="000000"/>
                <w:sz w:val="18"/>
                <w:szCs w:val="18"/>
              </w:rPr>
            </w:pPr>
            <w:r w:rsidRPr="00174008">
              <w:rPr>
                <w:rFonts w:asciiTheme="majorEastAsia" w:eastAsiaTheme="majorEastAsia" w:hAnsiTheme="majorEastAsia" w:cs="Arial"/>
                <w:b/>
                <w:bCs/>
                <w:color w:val="000000"/>
                <w:sz w:val="18"/>
                <w:szCs w:val="18"/>
              </w:rPr>
              <w:t>结案</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0448" w:rsidRPr="00174008" w:rsidRDefault="00170448" w:rsidP="00100381">
            <w:pPr>
              <w:jc w:val="center"/>
              <w:rPr>
                <w:rFonts w:asciiTheme="majorEastAsia" w:eastAsiaTheme="majorEastAsia" w:hAnsiTheme="majorEastAsia" w:cs="Arial"/>
                <w:b/>
                <w:bCs/>
                <w:color w:val="000000"/>
                <w:sz w:val="18"/>
                <w:szCs w:val="18"/>
              </w:rPr>
            </w:pPr>
            <w:r w:rsidRPr="00174008">
              <w:rPr>
                <w:rFonts w:asciiTheme="majorEastAsia" w:eastAsiaTheme="majorEastAsia" w:hAnsiTheme="majorEastAsia" w:cs="Arial"/>
                <w:b/>
                <w:bCs/>
                <w:color w:val="000000"/>
                <w:sz w:val="18"/>
                <w:szCs w:val="18"/>
              </w:rPr>
              <w:t>收案</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0448" w:rsidRPr="00174008" w:rsidRDefault="00170448" w:rsidP="00100381">
            <w:pPr>
              <w:jc w:val="center"/>
              <w:rPr>
                <w:rFonts w:asciiTheme="majorEastAsia" w:eastAsiaTheme="majorEastAsia" w:hAnsiTheme="majorEastAsia" w:cs="Arial"/>
                <w:b/>
                <w:bCs/>
                <w:color w:val="000000"/>
                <w:sz w:val="18"/>
                <w:szCs w:val="18"/>
              </w:rPr>
            </w:pPr>
            <w:r w:rsidRPr="00174008">
              <w:rPr>
                <w:rFonts w:asciiTheme="majorEastAsia" w:eastAsiaTheme="majorEastAsia" w:hAnsiTheme="majorEastAsia" w:cs="Arial"/>
                <w:b/>
                <w:bCs/>
                <w:color w:val="000000"/>
                <w:sz w:val="18"/>
                <w:szCs w:val="18"/>
              </w:rPr>
              <w:t>结案</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0448" w:rsidRPr="00174008" w:rsidRDefault="00170448" w:rsidP="00100381">
            <w:pPr>
              <w:jc w:val="center"/>
              <w:rPr>
                <w:rFonts w:asciiTheme="majorEastAsia" w:eastAsiaTheme="majorEastAsia" w:hAnsiTheme="majorEastAsia" w:cs="Arial"/>
                <w:b/>
                <w:bCs/>
                <w:color w:val="000000"/>
                <w:sz w:val="18"/>
                <w:szCs w:val="18"/>
              </w:rPr>
            </w:pPr>
            <w:r w:rsidRPr="00174008">
              <w:rPr>
                <w:rFonts w:asciiTheme="majorEastAsia" w:eastAsiaTheme="majorEastAsia" w:hAnsiTheme="majorEastAsia" w:cs="Arial"/>
                <w:b/>
                <w:bCs/>
                <w:color w:val="000000"/>
                <w:sz w:val="18"/>
                <w:szCs w:val="18"/>
              </w:rPr>
              <w:t>收案</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0448" w:rsidRPr="00174008" w:rsidRDefault="00170448" w:rsidP="00100381">
            <w:pPr>
              <w:jc w:val="center"/>
              <w:rPr>
                <w:rFonts w:asciiTheme="majorEastAsia" w:eastAsiaTheme="majorEastAsia" w:hAnsiTheme="majorEastAsia" w:cs="Arial"/>
                <w:b/>
                <w:bCs/>
                <w:color w:val="000000"/>
                <w:sz w:val="18"/>
                <w:szCs w:val="18"/>
              </w:rPr>
            </w:pPr>
            <w:r w:rsidRPr="00174008">
              <w:rPr>
                <w:rFonts w:asciiTheme="majorEastAsia" w:eastAsiaTheme="majorEastAsia" w:hAnsiTheme="majorEastAsia" w:cs="Arial"/>
                <w:b/>
                <w:bCs/>
                <w:color w:val="000000"/>
                <w:sz w:val="18"/>
                <w:szCs w:val="18"/>
              </w:rPr>
              <w:t>结案</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0448" w:rsidRPr="00174008" w:rsidRDefault="00170448" w:rsidP="00100381">
            <w:pPr>
              <w:jc w:val="center"/>
              <w:rPr>
                <w:rFonts w:asciiTheme="majorEastAsia" w:eastAsiaTheme="majorEastAsia" w:hAnsiTheme="majorEastAsia" w:cs="Arial"/>
                <w:b/>
                <w:bCs/>
                <w:color w:val="000000"/>
                <w:sz w:val="18"/>
                <w:szCs w:val="18"/>
              </w:rPr>
            </w:pPr>
            <w:r w:rsidRPr="00174008">
              <w:rPr>
                <w:rFonts w:asciiTheme="majorEastAsia" w:eastAsiaTheme="majorEastAsia" w:hAnsiTheme="majorEastAsia" w:cs="Arial"/>
                <w:b/>
                <w:bCs/>
                <w:color w:val="000000"/>
                <w:sz w:val="18"/>
                <w:szCs w:val="18"/>
              </w:rPr>
              <w:t>收案</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0448" w:rsidRPr="00174008" w:rsidRDefault="00170448" w:rsidP="00100381">
            <w:pPr>
              <w:jc w:val="center"/>
              <w:rPr>
                <w:rFonts w:asciiTheme="majorEastAsia" w:eastAsiaTheme="majorEastAsia" w:hAnsiTheme="majorEastAsia" w:cs="Arial"/>
                <w:b/>
                <w:bCs/>
                <w:color w:val="000000"/>
                <w:sz w:val="18"/>
                <w:szCs w:val="18"/>
              </w:rPr>
            </w:pPr>
            <w:r w:rsidRPr="00174008">
              <w:rPr>
                <w:rFonts w:asciiTheme="majorEastAsia" w:eastAsiaTheme="majorEastAsia" w:hAnsiTheme="majorEastAsia" w:cs="Arial"/>
                <w:b/>
                <w:bCs/>
                <w:color w:val="000000"/>
                <w:sz w:val="18"/>
                <w:szCs w:val="18"/>
              </w:rPr>
              <w:t>结案</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0448" w:rsidRPr="00174008" w:rsidRDefault="00170448" w:rsidP="00100381">
            <w:pPr>
              <w:jc w:val="center"/>
              <w:rPr>
                <w:rFonts w:asciiTheme="majorEastAsia" w:eastAsiaTheme="majorEastAsia" w:hAnsiTheme="majorEastAsia" w:cs="Arial"/>
                <w:b/>
                <w:bCs/>
                <w:color w:val="000000"/>
                <w:sz w:val="18"/>
                <w:szCs w:val="18"/>
              </w:rPr>
            </w:pPr>
            <w:r w:rsidRPr="00174008">
              <w:rPr>
                <w:rFonts w:asciiTheme="majorEastAsia" w:eastAsiaTheme="majorEastAsia" w:hAnsiTheme="majorEastAsia" w:cs="Arial"/>
                <w:b/>
                <w:bCs/>
                <w:color w:val="000000"/>
                <w:sz w:val="18"/>
                <w:szCs w:val="18"/>
              </w:rPr>
              <w:t>收案</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70448" w:rsidRPr="00174008" w:rsidRDefault="00170448" w:rsidP="00100381">
            <w:pPr>
              <w:jc w:val="center"/>
              <w:rPr>
                <w:rFonts w:asciiTheme="majorEastAsia" w:eastAsiaTheme="majorEastAsia" w:hAnsiTheme="majorEastAsia" w:cs="Arial"/>
                <w:b/>
                <w:bCs/>
                <w:color w:val="000000"/>
                <w:sz w:val="18"/>
                <w:szCs w:val="18"/>
              </w:rPr>
            </w:pPr>
            <w:r w:rsidRPr="00174008">
              <w:rPr>
                <w:rFonts w:asciiTheme="majorEastAsia" w:eastAsiaTheme="majorEastAsia" w:hAnsiTheme="majorEastAsia" w:cs="Arial"/>
                <w:b/>
                <w:bCs/>
                <w:color w:val="000000"/>
                <w:sz w:val="18"/>
                <w:szCs w:val="18"/>
              </w:rPr>
              <w:t>结案</w:t>
            </w:r>
          </w:p>
        </w:tc>
      </w:tr>
      <w:tr w:rsidR="0056062D" w:rsidRPr="00174008" w:rsidTr="00CF31AB">
        <w:trPr>
          <w:trHeight w:val="315"/>
          <w:jc w:val="center"/>
        </w:trPr>
        <w:tc>
          <w:tcPr>
            <w:tcW w:w="71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6062D" w:rsidRPr="00174008" w:rsidRDefault="0056062D">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曹文吉</w:t>
            </w:r>
          </w:p>
        </w:tc>
        <w:tc>
          <w:tcPr>
            <w:tcW w:w="79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6062D" w:rsidRPr="00174008" w:rsidRDefault="0056062D">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院长</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6062D" w:rsidRPr="00174008" w:rsidRDefault="0056062D">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6062D" w:rsidRPr="00174008" w:rsidRDefault="0056062D">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6062D" w:rsidRPr="00174008" w:rsidRDefault="0056062D">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6062D" w:rsidRPr="00174008" w:rsidRDefault="0056062D">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6062D" w:rsidRPr="00174008" w:rsidRDefault="0056062D">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6062D" w:rsidRPr="00174008" w:rsidRDefault="0056062D">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6062D" w:rsidRPr="00174008" w:rsidRDefault="0056062D">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6062D" w:rsidRPr="00174008" w:rsidRDefault="0056062D">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6062D" w:rsidRPr="00174008" w:rsidRDefault="0056062D">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6062D" w:rsidRPr="00174008" w:rsidRDefault="0056062D">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6062D" w:rsidRPr="00174008" w:rsidRDefault="0056062D">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6062D" w:rsidRPr="00174008" w:rsidRDefault="0056062D">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6062D" w:rsidRPr="00174008" w:rsidRDefault="0056062D">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6062D" w:rsidRPr="00174008" w:rsidRDefault="0056062D">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6062D" w:rsidRPr="00174008" w:rsidRDefault="006C7F31">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hint="eastAsia"/>
                <w:bCs/>
                <w:color w:val="000000"/>
                <w:sz w:val="18"/>
                <w:szCs w:val="18"/>
              </w:rPr>
              <w:t>0</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6062D" w:rsidRPr="00174008" w:rsidRDefault="006C7F31">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hint="eastAsia"/>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6062D" w:rsidRPr="00174008" w:rsidRDefault="0056062D">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6062D" w:rsidRPr="00174008" w:rsidRDefault="0056062D">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r>
      <w:tr w:rsidR="00CE6710" w:rsidRPr="00174008" w:rsidTr="00CF31AB">
        <w:trPr>
          <w:trHeight w:val="315"/>
          <w:jc w:val="center"/>
        </w:trPr>
        <w:tc>
          <w:tcPr>
            <w:tcW w:w="71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张日男</w:t>
            </w:r>
          </w:p>
        </w:tc>
        <w:tc>
          <w:tcPr>
            <w:tcW w:w="79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副院长</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1</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1</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1</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r>
      <w:tr w:rsidR="00CE6710" w:rsidRPr="00174008" w:rsidTr="00CF31AB">
        <w:trPr>
          <w:trHeight w:val="315"/>
          <w:jc w:val="center"/>
        </w:trPr>
        <w:tc>
          <w:tcPr>
            <w:tcW w:w="71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金虎哲</w:t>
            </w:r>
          </w:p>
        </w:tc>
        <w:tc>
          <w:tcPr>
            <w:tcW w:w="79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副院长</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1</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1</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1</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1</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1</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1</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r>
      <w:tr w:rsidR="00CE6710" w:rsidRPr="00174008" w:rsidTr="00CF31AB">
        <w:trPr>
          <w:trHeight w:val="315"/>
          <w:jc w:val="center"/>
        </w:trPr>
        <w:tc>
          <w:tcPr>
            <w:tcW w:w="71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李哲洙</w:t>
            </w:r>
          </w:p>
        </w:tc>
        <w:tc>
          <w:tcPr>
            <w:tcW w:w="79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副院长</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r>
      <w:tr w:rsidR="00CE6710" w:rsidRPr="00174008" w:rsidTr="00CF31AB">
        <w:trPr>
          <w:trHeight w:val="315"/>
          <w:jc w:val="center"/>
        </w:trPr>
        <w:tc>
          <w:tcPr>
            <w:tcW w:w="71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薛</w:t>
            </w:r>
            <w:r w:rsidR="00E84F84" w:rsidRPr="00174008">
              <w:rPr>
                <w:rFonts w:asciiTheme="majorEastAsia" w:eastAsiaTheme="majorEastAsia" w:hAnsiTheme="majorEastAsia" w:cs="Arial" w:hint="eastAsia"/>
                <w:bCs/>
                <w:color w:val="000000"/>
                <w:sz w:val="18"/>
                <w:szCs w:val="18"/>
              </w:rPr>
              <w:t xml:space="preserve">  </w:t>
            </w:r>
            <w:r w:rsidRPr="00174008">
              <w:rPr>
                <w:rFonts w:asciiTheme="majorEastAsia" w:eastAsiaTheme="majorEastAsia" w:hAnsiTheme="majorEastAsia" w:cs="Arial"/>
                <w:bCs/>
                <w:color w:val="000000"/>
                <w:sz w:val="18"/>
                <w:szCs w:val="18"/>
              </w:rPr>
              <w:t>海</w:t>
            </w:r>
          </w:p>
        </w:tc>
        <w:tc>
          <w:tcPr>
            <w:tcW w:w="79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副院长</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1</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27</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1</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27</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1</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27</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r>
      <w:tr w:rsidR="00CE6710" w:rsidRPr="00174008" w:rsidTr="00CF31AB">
        <w:trPr>
          <w:trHeight w:val="315"/>
          <w:jc w:val="center"/>
        </w:trPr>
        <w:tc>
          <w:tcPr>
            <w:tcW w:w="71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赵钢德</w:t>
            </w:r>
          </w:p>
        </w:tc>
        <w:tc>
          <w:tcPr>
            <w:tcW w:w="79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hint="eastAsia"/>
                <w:bCs/>
                <w:color w:val="000000"/>
                <w:sz w:val="18"/>
                <w:szCs w:val="18"/>
              </w:rPr>
              <w:t>专职委员</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28</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22</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28</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22</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25</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22</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3</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710" w:rsidRPr="00174008" w:rsidRDefault="00CE671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r>
      <w:tr w:rsidR="00E5690C" w:rsidRPr="00174008" w:rsidTr="00CF31AB">
        <w:trPr>
          <w:trHeight w:val="315"/>
          <w:jc w:val="center"/>
        </w:trPr>
        <w:tc>
          <w:tcPr>
            <w:tcW w:w="71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E5690C" w:rsidRPr="00174008" w:rsidRDefault="00E5690C">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hint="eastAsia"/>
                <w:bCs/>
                <w:color w:val="000000"/>
                <w:sz w:val="18"/>
                <w:szCs w:val="18"/>
              </w:rPr>
              <w:t>李龙俊</w:t>
            </w:r>
          </w:p>
        </w:tc>
        <w:tc>
          <w:tcPr>
            <w:tcW w:w="79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E5690C" w:rsidRPr="00174008" w:rsidRDefault="00E5690C">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hint="eastAsia"/>
                <w:bCs/>
                <w:color w:val="000000"/>
                <w:sz w:val="18"/>
                <w:szCs w:val="18"/>
              </w:rPr>
              <w:t>副院长</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E5690C" w:rsidRPr="00174008" w:rsidRDefault="00E5690C">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hint="eastAsia"/>
                <w:bCs/>
                <w:color w:val="000000"/>
                <w:sz w:val="18"/>
                <w:szCs w:val="18"/>
              </w:rPr>
              <w:t>2</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E5690C" w:rsidRPr="00174008" w:rsidRDefault="00E5690C">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hint="eastAsia"/>
                <w:bCs/>
                <w:color w:val="000000"/>
                <w:sz w:val="18"/>
                <w:szCs w:val="18"/>
              </w:rPr>
              <w:t>1</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E5690C" w:rsidRPr="00174008" w:rsidRDefault="00E5690C">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hint="eastAsia"/>
                <w:bCs/>
                <w:color w:val="000000"/>
                <w:sz w:val="18"/>
                <w:szCs w:val="18"/>
              </w:rPr>
              <w:t>0</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E5690C" w:rsidRPr="00174008" w:rsidRDefault="00E5690C">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hint="eastAsia"/>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E5690C" w:rsidRPr="00174008" w:rsidRDefault="00047AF6">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hint="eastAsia"/>
                <w:bCs/>
                <w:color w:val="000000"/>
                <w:sz w:val="18"/>
                <w:szCs w:val="18"/>
              </w:rPr>
              <w:t>2</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E5690C" w:rsidRPr="00174008" w:rsidRDefault="00047AF6">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hint="eastAsia"/>
                <w:bCs/>
                <w:color w:val="000000"/>
                <w:sz w:val="18"/>
                <w:szCs w:val="18"/>
              </w:rPr>
              <w:t>1</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E5690C" w:rsidRPr="00174008" w:rsidRDefault="00A55614">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hint="eastAsia"/>
                <w:bCs/>
                <w:color w:val="000000"/>
                <w:sz w:val="18"/>
                <w:szCs w:val="18"/>
              </w:rPr>
              <w:t>2</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E5690C" w:rsidRPr="00174008" w:rsidRDefault="00A55614">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hint="eastAsia"/>
                <w:bCs/>
                <w:color w:val="000000"/>
                <w:sz w:val="18"/>
                <w:szCs w:val="18"/>
              </w:rPr>
              <w:t>1</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E5690C" w:rsidRPr="00174008" w:rsidRDefault="00A55614">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hint="eastAsia"/>
                <w:bCs/>
                <w:color w:val="000000"/>
                <w:sz w:val="18"/>
                <w:szCs w:val="18"/>
              </w:rPr>
              <w:t>0</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E5690C" w:rsidRPr="00174008" w:rsidRDefault="00F73FBF">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hint="eastAsia"/>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E5690C" w:rsidRPr="00174008" w:rsidRDefault="00A55614">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hint="eastAsia"/>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E5690C" w:rsidRPr="00174008" w:rsidRDefault="00A55614">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hint="eastAsia"/>
                <w:bCs/>
                <w:color w:val="000000"/>
                <w:sz w:val="18"/>
                <w:szCs w:val="18"/>
              </w:rPr>
              <w:t>0</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E5690C" w:rsidRPr="00174008" w:rsidRDefault="00A55614">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hint="eastAsia"/>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E5690C" w:rsidRPr="00174008" w:rsidRDefault="00A55614">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hint="eastAsia"/>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E5690C" w:rsidRPr="00174008" w:rsidRDefault="00A55614">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hint="eastAsia"/>
                <w:bCs/>
                <w:color w:val="000000"/>
                <w:sz w:val="18"/>
                <w:szCs w:val="18"/>
              </w:rPr>
              <w:t>0</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E5690C" w:rsidRPr="00174008" w:rsidRDefault="00A55614">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hint="eastAsia"/>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E5690C" w:rsidRPr="00174008" w:rsidRDefault="00A55614">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hint="eastAsia"/>
                <w:bCs/>
                <w:color w:val="000000"/>
                <w:sz w:val="18"/>
                <w:szCs w:val="18"/>
              </w:rPr>
              <w:t>0</w:t>
            </w:r>
          </w:p>
        </w:tc>
        <w:tc>
          <w:tcPr>
            <w:tcW w:w="47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E5690C" w:rsidRPr="00174008" w:rsidRDefault="00A55614">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hint="eastAsia"/>
                <w:bCs/>
                <w:color w:val="000000"/>
                <w:sz w:val="18"/>
                <w:szCs w:val="18"/>
              </w:rPr>
              <w:t>0</w:t>
            </w:r>
          </w:p>
        </w:tc>
      </w:tr>
      <w:tr w:rsidR="00FD1512" w:rsidRPr="00174008" w:rsidTr="00CF31AB">
        <w:trPr>
          <w:trHeight w:val="298"/>
          <w:jc w:val="center"/>
        </w:trPr>
        <w:tc>
          <w:tcPr>
            <w:tcW w:w="1516"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FD1512" w:rsidRPr="00174008" w:rsidRDefault="00FD1512">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总</w:t>
            </w:r>
            <w:r w:rsidR="00B9510F" w:rsidRPr="00174008">
              <w:rPr>
                <w:rFonts w:asciiTheme="majorEastAsia" w:eastAsiaTheme="majorEastAsia" w:hAnsiTheme="majorEastAsia" w:cs="Arial" w:hint="eastAsia"/>
                <w:bCs/>
                <w:color w:val="000000"/>
                <w:sz w:val="18"/>
                <w:szCs w:val="18"/>
              </w:rPr>
              <w:t xml:space="preserve">         </w:t>
            </w:r>
            <w:r w:rsidRPr="00174008">
              <w:rPr>
                <w:rFonts w:asciiTheme="majorEastAsia" w:eastAsiaTheme="majorEastAsia" w:hAnsiTheme="majorEastAsia" w:cs="Arial"/>
                <w:bCs/>
                <w:color w:val="000000"/>
                <w:sz w:val="18"/>
                <w:szCs w:val="18"/>
              </w:rPr>
              <w:t>计</w:t>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FD1512" w:rsidRPr="00174008" w:rsidRDefault="00D9785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fldChar w:fldCharType="begin"/>
            </w:r>
            <w:r w:rsidR="00CE6710" w:rsidRPr="00174008">
              <w:rPr>
                <w:rFonts w:asciiTheme="majorEastAsia" w:eastAsiaTheme="majorEastAsia" w:hAnsiTheme="majorEastAsia" w:cs="Arial"/>
                <w:bCs/>
                <w:color w:val="000000"/>
                <w:sz w:val="18"/>
                <w:szCs w:val="18"/>
              </w:rPr>
              <w:instrText xml:space="preserve"> =SUM(ABOVE) </w:instrText>
            </w:r>
            <w:r w:rsidRPr="00174008">
              <w:rPr>
                <w:rFonts w:asciiTheme="majorEastAsia" w:eastAsiaTheme="majorEastAsia" w:hAnsiTheme="majorEastAsia" w:cs="Arial"/>
                <w:bCs/>
                <w:color w:val="000000"/>
                <w:sz w:val="18"/>
                <w:szCs w:val="18"/>
              </w:rPr>
              <w:fldChar w:fldCharType="separate"/>
            </w:r>
            <w:r w:rsidR="00CE6710" w:rsidRPr="00174008">
              <w:rPr>
                <w:rFonts w:asciiTheme="majorEastAsia" w:eastAsiaTheme="majorEastAsia" w:hAnsiTheme="majorEastAsia" w:cs="Arial"/>
                <w:bCs/>
                <w:noProof/>
                <w:color w:val="000000"/>
                <w:sz w:val="18"/>
                <w:szCs w:val="18"/>
              </w:rPr>
              <w:t>32</w:t>
            </w:r>
            <w:r w:rsidRPr="00174008">
              <w:rPr>
                <w:rFonts w:asciiTheme="majorEastAsia" w:eastAsiaTheme="majorEastAsia" w:hAnsiTheme="majorEastAsia" w:cs="Arial"/>
                <w:bCs/>
                <w:color w:val="000000"/>
                <w:sz w:val="18"/>
                <w:szCs w:val="18"/>
              </w:rPr>
              <w:fldChar w:fldCharType="end"/>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FD1512" w:rsidRPr="00174008" w:rsidRDefault="00D9785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fldChar w:fldCharType="begin"/>
            </w:r>
            <w:r w:rsidR="00CE6710" w:rsidRPr="00174008">
              <w:rPr>
                <w:rFonts w:asciiTheme="majorEastAsia" w:eastAsiaTheme="majorEastAsia" w:hAnsiTheme="majorEastAsia" w:cs="Arial"/>
                <w:bCs/>
                <w:color w:val="000000"/>
                <w:sz w:val="18"/>
                <w:szCs w:val="18"/>
              </w:rPr>
              <w:instrText xml:space="preserve"> =SUM(ABOVE) </w:instrText>
            </w:r>
            <w:r w:rsidRPr="00174008">
              <w:rPr>
                <w:rFonts w:asciiTheme="majorEastAsia" w:eastAsiaTheme="majorEastAsia" w:hAnsiTheme="majorEastAsia" w:cs="Arial"/>
                <w:bCs/>
                <w:color w:val="000000"/>
                <w:sz w:val="18"/>
                <w:szCs w:val="18"/>
              </w:rPr>
              <w:fldChar w:fldCharType="separate"/>
            </w:r>
            <w:r w:rsidR="00CE6710" w:rsidRPr="00174008">
              <w:rPr>
                <w:rFonts w:asciiTheme="majorEastAsia" w:eastAsiaTheme="majorEastAsia" w:hAnsiTheme="majorEastAsia" w:cs="Arial"/>
                <w:bCs/>
                <w:noProof/>
                <w:color w:val="000000"/>
                <w:sz w:val="18"/>
                <w:szCs w:val="18"/>
              </w:rPr>
              <w:t>52</w:t>
            </w:r>
            <w:r w:rsidRPr="00174008">
              <w:rPr>
                <w:rFonts w:asciiTheme="majorEastAsia" w:eastAsiaTheme="majorEastAsia" w:hAnsiTheme="majorEastAsia" w:cs="Arial"/>
                <w:bCs/>
                <w:color w:val="000000"/>
                <w:sz w:val="18"/>
                <w:szCs w:val="18"/>
              </w:rPr>
              <w:fldChar w:fldCharType="end"/>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D1512" w:rsidRPr="00174008" w:rsidRDefault="00D9785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fldChar w:fldCharType="begin"/>
            </w:r>
            <w:r w:rsidR="00047AF6" w:rsidRPr="00174008">
              <w:rPr>
                <w:rFonts w:asciiTheme="majorEastAsia" w:eastAsiaTheme="majorEastAsia" w:hAnsiTheme="majorEastAsia" w:cs="Arial"/>
                <w:bCs/>
                <w:color w:val="000000"/>
                <w:sz w:val="18"/>
                <w:szCs w:val="18"/>
              </w:rPr>
              <w:instrText xml:space="preserve"> =SUM(ABOVE) </w:instrText>
            </w:r>
            <w:r w:rsidRPr="00174008">
              <w:rPr>
                <w:rFonts w:asciiTheme="majorEastAsia" w:eastAsiaTheme="majorEastAsia" w:hAnsiTheme="majorEastAsia" w:cs="Arial"/>
                <w:bCs/>
                <w:color w:val="000000"/>
                <w:sz w:val="18"/>
                <w:szCs w:val="18"/>
              </w:rPr>
              <w:fldChar w:fldCharType="separate"/>
            </w:r>
            <w:r w:rsidR="00047AF6" w:rsidRPr="00174008">
              <w:rPr>
                <w:rFonts w:asciiTheme="majorEastAsia" w:eastAsiaTheme="majorEastAsia" w:hAnsiTheme="majorEastAsia" w:cs="Arial"/>
                <w:bCs/>
                <w:noProof/>
                <w:color w:val="000000"/>
                <w:sz w:val="18"/>
                <w:szCs w:val="18"/>
              </w:rPr>
              <w:t>0</w:t>
            </w:r>
            <w:r w:rsidRPr="00174008">
              <w:rPr>
                <w:rFonts w:asciiTheme="majorEastAsia" w:eastAsiaTheme="majorEastAsia" w:hAnsiTheme="majorEastAsia" w:cs="Arial"/>
                <w:bCs/>
                <w:color w:val="000000"/>
                <w:sz w:val="18"/>
                <w:szCs w:val="18"/>
              </w:rPr>
              <w:fldChar w:fldCharType="end"/>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FD1512" w:rsidRPr="00174008" w:rsidRDefault="00FD1512">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FD1512" w:rsidRPr="00174008" w:rsidRDefault="00D9785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fldChar w:fldCharType="begin"/>
            </w:r>
            <w:r w:rsidR="00CE6710" w:rsidRPr="00174008">
              <w:rPr>
                <w:rFonts w:asciiTheme="majorEastAsia" w:eastAsiaTheme="majorEastAsia" w:hAnsiTheme="majorEastAsia" w:cs="Arial"/>
                <w:bCs/>
                <w:color w:val="000000"/>
                <w:sz w:val="18"/>
                <w:szCs w:val="18"/>
              </w:rPr>
              <w:instrText xml:space="preserve"> =SUM(ABOVE) </w:instrText>
            </w:r>
            <w:r w:rsidRPr="00174008">
              <w:rPr>
                <w:rFonts w:asciiTheme="majorEastAsia" w:eastAsiaTheme="majorEastAsia" w:hAnsiTheme="majorEastAsia" w:cs="Arial"/>
                <w:bCs/>
                <w:color w:val="000000"/>
                <w:sz w:val="18"/>
                <w:szCs w:val="18"/>
              </w:rPr>
              <w:fldChar w:fldCharType="separate"/>
            </w:r>
            <w:r w:rsidR="00CE6710" w:rsidRPr="00174008">
              <w:rPr>
                <w:rFonts w:asciiTheme="majorEastAsia" w:eastAsiaTheme="majorEastAsia" w:hAnsiTheme="majorEastAsia" w:cs="Arial"/>
                <w:bCs/>
                <w:noProof/>
                <w:color w:val="000000"/>
                <w:sz w:val="18"/>
                <w:szCs w:val="18"/>
              </w:rPr>
              <w:t>32</w:t>
            </w:r>
            <w:r w:rsidRPr="00174008">
              <w:rPr>
                <w:rFonts w:asciiTheme="majorEastAsia" w:eastAsiaTheme="majorEastAsia" w:hAnsiTheme="majorEastAsia" w:cs="Arial"/>
                <w:bCs/>
                <w:color w:val="000000"/>
                <w:sz w:val="18"/>
                <w:szCs w:val="18"/>
              </w:rPr>
              <w:fldChar w:fldCharType="end"/>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FD1512" w:rsidRPr="00174008" w:rsidRDefault="00D9785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fldChar w:fldCharType="begin"/>
            </w:r>
            <w:r w:rsidR="00CE6710" w:rsidRPr="00174008">
              <w:rPr>
                <w:rFonts w:asciiTheme="majorEastAsia" w:eastAsiaTheme="majorEastAsia" w:hAnsiTheme="majorEastAsia" w:cs="Arial"/>
                <w:bCs/>
                <w:color w:val="000000"/>
                <w:sz w:val="18"/>
                <w:szCs w:val="18"/>
              </w:rPr>
              <w:instrText xml:space="preserve"> =SUM(ABOVE) </w:instrText>
            </w:r>
            <w:r w:rsidRPr="00174008">
              <w:rPr>
                <w:rFonts w:asciiTheme="majorEastAsia" w:eastAsiaTheme="majorEastAsia" w:hAnsiTheme="majorEastAsia" w:cs="Arial"/>
                <w:bCs/>
                <w:color w:val="000000"/>
                <w:sz w:val="18"/>
                <w:szCs w:val="18"/>
              </w:rPr>
              <w:fldChar w:fldCharType="separate"/>
            </w:r>
            <w:r w:rsidR="00CE6710" w:rsidRPr="00174008">
              <w:rPr>
                <w:rFonts w:asciiTheme="majorEastAsia" w:eastAsiaTheme="majorEastAsia" w:hAnsiTheme="majorEastAsia" w:cs="Arial"/>
                <w:bCs/>
                <w:noProof/>
                <w:color w:val="000000"/>
                <w:sz w:val="18"/>
                <w:szCs w:val="18"/>
              </w:rPr>
              <w:t>52</w:t>
            </w:r>
            <w:r w:rsidRPr="00174008">
              <w:rPr>
                <w:rFonts w:asciiTheme="majorEastAsia" w:eastAsiaTheme="majorEastAsia" w:hAnsiTheme="majorEastAsia" w:cs="Arial"/>
                <w:bCs/>
                <w:color w:val="000000"/>
                <w:sz w:val="18"/>
                <w:szCs w:val="18"/>
              </w:rPr>
              <w:fldChar w:fldCharType="end"/>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FD1512" w:rsidRPr="00174008" w:rsidRDefault="00D9785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fldChar w:fldCharType="begin"/>
            </w:r>
            <w:r w:rsidR="00CE6710" w:rsidRPr="00174008">
              <w:rPr>
                <w:rFonts w:asciiTheme="majorEastAsia" w:eastAsiaTheme="majorEastAsia" w:hAnsiTheme="majorEastAsia" w:cs="Arial"/>
                <w:bCs/>
                <w:color w:val="000000"/>
                <w:sz w:val="18"/>
                <w:szCs w:val="18"/>
              </w:rPr>
              <w:instrText xml:space="preserve"> =SUM(ABOVE) </w:instrText>
            </w:r>
            <w:r w:rsidRPr="00174008">
              <w:rPr>
                <w:rFonts w:asciiTheme="majorEastAsia" w:eastAsiaTheme="majorEastAsia" w:hAnsiTheme="majorEastAsia" w:cs="Arial"/>
                <w:bCs/>
                <w:color w:val="000000"/>
                <w:sz w:val="18"/>
                <w:szCs w:val="18"/>
              </w:rPr>
              <w:fldChar w:fldCharType="separate"/>
            </w:r>
            <w:r w:rsidR="00CE6710" w:rsidRPr="00174008">
              <w:rPr>
                <w:rFonts w:asciiTheme="majorEastAsia" w:eastAsiaTheme="majorEastAsia" w:hAnsiTheme="majorEastAsia" w:cs="Arial"/>
                <w:bCs/>
                <w:noProof/>
                <w:color w:val="000000"/>
                <w:sz w:val="18"/>
                <w:szCs w:val="18"/>
              </w:rPr>
              <w:t>3</w:t>
            </w:r>
            <w:r w:rsidRPr="00174008">
              <w:rPr>
                <w:rFonts w:asciiTheme="majorEastAsia" w:eastAsiaTheme="majorEastAsia" w:hAnsiTheme="majorEastAsia" w:cs="Arial"/>
                <w:bCs/>
                <w:color w:val="000000"/>
                <w:sz w:val="18"/>
                <w:szCs w:val="18"/>
              </w:rPr>
              <w:fldChar w:fldCharType="end"/>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FD1512" w:rsidRPr="00174008" w:rsidRDefault="00D9785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fldChar w:fldCharType="begin"/>
            </w:r>
            <w:r w:rsidR="00CE6710" w:rsidRPr="00174008">
              <w:rPr>
                <w:rFonts w:asciiTheme="majorEastAsia" w:eastAsiaTheme="majorEastAsia" w:hAnsiTheme="majorEastAsia" w:cs="Arial"/>
                <w:bCs/>
                <w:color w:val="000000"/>
                <w:sz w:val="18"/>
                <w:szCs w:val="18"/>
              </w:rPr>
              <w:instrText xml:space="preserve"> =SUM(ABOVE) </w:instrText>
            </w:r>
            <w:r w:rsidRPr="00174008">
              <w:rPr>
                <w:rFonts w:asciiTheme="majorEastAsia" w:eastAsiaTheme="majorEastAsia" w:hAnsiTheme="majorEastAsia" w:cs="Arial"/>
                <w:bCs/>
                <w:color w:val="000000"/>
                <w:sz w:val="18"/>
                <w:szCs w:val="18"/>
              </w:rPr>
              <w:fldChar w:fldCharType="separate"/>
            </w:r>
            <w:r w:rsidR="00CE6710" w:rsidRPr="00174008">
              <w:rPr>
                <w:rFonts w:asciiTheme="majorEastAsia" w:eastAsiaTheme="majorEastAsia" w:hAnsiTheme="majorEastAsia" w:cs="Arial"/>
                <w:bCs/>
                <w:noProof/>
                <w:color w:val="000000"/>
                <w:sz w:val="18"/>
                <w:szCs w:val="18"/>
              </w:rPr>
              <w:t>2</w:t>
            </w:r>
            <w:r w:rsidRPr="00174008">
              <w:rPr>
                <w:rFonts w:asciiTheme="majorEastAsia" w:eastAsiaTheme="majorEastAsia" w:hAnsiTheme="majorEastAsia" w:cs="Arial"/>
                <w:bCs/>
                <w:color w:val="000000"/>
                <w:sz w:val="18"/>
                <w:szCs w:val="18"/>
              </w:rPr>
              <w:fldChar w:fldCharType="end"/>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FD1512" w:rsidRPr="00174008" w:rsidRDefault="00D9785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fldChar w:fldCharType="begin"/>
            </w:r>
            <w:r w:rsidR="00047AF6" w:rsidRPr="00174008">
              <w:rPr>
                <w:rFonts w:asciiTheme="majorEastAsia" w:eastAsiaTheme="majorEastAsia" w:hAnsiTheme="majorEastAsia" w:cs="Arial"/>
                <w:bCs/>
                <w:color w:val="000000"/>
                <w:sz w:val="18"/>
                <w:szCs w:val="18"/>
              </w:rPr>
              <w:instrText xml:space="preserve"> =SUM(ABOVE) </w:instrText>
            </w:r>
            <w:r w:rsidRPr="00174008">
              <w:rPr>
                <w:rFonts w:asciiTheme="majorEastAsia" w:eastAsiaTheme="majorEastAsia" w:hAnsiTheme="majorEastAsia" w:cs="Arial"/>
                <w:bCs/>
                <w:color w:val="000000"/>
                <w:sz w:val="18"/>
                <w:szCs w:val="18"/>
              </w:rPr>
              <w:fldChar w:fldCharType="separate"/>
            </w:r>
            <w:r w:rsidR="00047AF6" w:rsidRPr="00174008">
              <w:rPr>
                <w:rFonts w:asciiTheme="majorEastAsia" w:eastAsiaTheme="majorEastAsia" w:hAnsiTheme="majorEastAsia" w:cs="Arial"/>
                <w:bCs/>
                <w:noProof/>
                <w:color w:val="000000"/>
                <w:sz w:val="18"/>
                <w:szCs w:val="18"/>
              </w:rPr>
              <w:t>1</w:t>
            </w:r>
            <w:r w:rsidRPr="00174008">
              <w:rPr>
                <w:rFonts w:asciiTheme="majorEastAsia" w:eastAsiaTheme="majorEastAsia" w:hAnsiTheme="majorEastAsia" w:cs="Arial"/>
                <w:bCs/>
                <w:color w:val="000000"/>
                <w:sz w:val="18"/>
                <w:szCs w:val="18"/>
              </w:rPr>
              <w:fldChar w:fldCharType="end"/>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FD1512" w:rsidRPr="00174008" w:rsidRDefault="00D9785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fldChar w:fldCharType="begin"/>
            </w:r>
            <w:r w:rsidR="00CE6710" w:rsidRPr="00174008">
              <w:rPr>
                <w:rFonts w:asciiTheme="majorEastAsia" w:eastAsiaTheme="majorEastAsia" w:hAnsiTheme="majorEastAsia" w:cs="Arial"/>
                <w:bCs/>
                <w:color w:val="000000"/>
                <w:sz w:val="18"/>
                <w:szCs w:val="18"/>
              </w:rPr>
              <w:instrText xml:space="preserve"> =SUM(ABOVE) </w:instrText>
            </w:r>
            <w:r w:rsidRPr="00174008">
              <w:rPr>
                <w:rFonts w:asciiTheme="majorEastAsia" w:eastAsiaTheme="majorEastAsia" w:hAnsiTheme="majorEastAsia" w:cs="Arial"/>
                <w:bCs/>
                <w:color w:val="000000"/>
                <w:sz w:val="18"/>
                <w:szCs w:val="18"/>
              </w:rPr>
              <w:fldChar w:fldCharType="separate"/>
            </w:r>
            <w:r w:rsidR="00CE6710" w:rsidRPr="00174008">
              <w:rPr>
                <w:rFonts w:asciiTheme="majorEastAsia" w:eastAsiaTheme="majorEastAsia" w:hAnsiTheme="majorEastAsia" w:cs="Arial"/>
                <w:bCs/>
                <w:noProof/>
                <w:color w:val="000000"/>
                <w:sz w:val="18"/>
                <w:szCs w:val="18"/>
              </w:rPr>
              <w:t>28</w:t>
            </w:r>
            <w:r w:rsidRPr="00174008">
              <w:rPr>
                <w:rFonts w:asciiTheme="majorEastAsia" w:eastAsiaTheme="majorEastAsia" w:hAnsiTheme="majorEastAsia" w:cs="Arial"/>
                <w:bCs/>
                <w:color w:val="000000"/>
                <w:sz w:val="18"/>
                <w:szCs w:val="18"/>
              </w:rPr>
              <w:fldChar w:fldCharType="end"/>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FD1512" w:rsidRPr="00174008" w:rsidRDefault="00D9785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fldChar w:fldCharType="begin"/>
            </w:r>
            <w:r w:rsidR="00CE6710" w:rsidRPr="00174008">
              <w:rPr>
                <w:rFonts w:asciiTheme="majorEastAsia" w:eastAsiaTheme="majorEastAsia" w:hAnsiTheme="majorEastAsia" w:cs="Arial"/>
                <w:bCs/>
                <w:color w:val="000000"/>
                <w:sz w:val="18"/>
                <w:szCs w:val="18"/>
              </w:rPr>
              <w:instrText xml:space="preserve"> =SUM(ABOVE) </w:instrText>
            </w:r>
            <w:r w:rsidRPr="00174008">
              <w:rPr>
                <w:rFonts w:asciiTheme="majorEastAsia" w:eastAsiaTheme="majorEastAsia" w:hAnsiTheme="majorEastAsia" w:cs="Arial"/>
                <w:bCs/>
                <w:color w:val="000000"/>
                <w:sz w:val="18"/>
                <w:szCs w:val="18"/>
              </w:rPr>
              <w:fldChar w:fldCharType="separate"/>
            </w:r>
            <w:r w:rsidR="00CE6710" w:rsidRPr="00174008">
              <w:rPr>
                <w:rFonts w:asciiTheme="majorEastAsia" w:eastAsiaTheme="majorEastAsia" w:hAnsiTheme="majorEastAsia" w:cs="Arial"/>
                <w:bCs/>
                <w:noProof/>
                <w:color w:val="000000"/>
                <w:sz w:val="18"/>
                <w:szCs w:val="18"/>
              </w:rPr>
              <w:t>25</w:t>
            </w:r>
            <w:r w:rsidRPr="00174008">
              <w:rPr>
                <w:rFonts w:asciiTheme="majorEastAsia" w:eastAsiaTheme="majorEastAsia" w:hAnsiTheme="majorEastAsia" w:cs="Arial"/>
                <w:bCs/>
                <w:color w:val="000000"/>
                <w:sz w:val="18"/>
                <w:szCs w:val="18"/>
              </w:rPr>
              <w:fldChar w:fldCharType="end"/>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FD1512" w:rsidRPr="00174008" w:rsidRDefault="00D9785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fldChar w:fldCharType="begin"/>
            </w:r>
            <w:r w:rsidR="00CE6710" w:rsidRPr="00174008">
              <w:rPr>
                <w:rFonts w:asciiTheme="majorEastAsia" w:eastAsiaTheme="majorEastAsia" w:hAnsiTheme="majorEastAsia" w:cs="Arial"/>
                <w:bCs/>
                <w:color w:val="000000"/>
                <w:sz w:val="18"/>
                <w:szCs w:val="18"/>
              </w:rPr>
              <w:instrText xml:space="preserve"> =SUM(ABOVE) </w:instrText>
            </w:r>
            <w:r w:rsidRPr="00174008">
              <w:rPr>
                <w:rFonts w:asciiTheme="majorEastAsia" w:eastAsiaTheme="majorEastAsia" w:hAnsiTheme="majorEastAsia" w:cs="Arial"/>
                <w:bCs/>
                <w:color w:val="000000"/>
                <w:sz w:val="18"/>
                <w:szCs w:val="18"/>
              </w:rPr>
              <w:fldChar w:fldCharType="separate"/>
            </w:r>
            <w:r w:rsidR="00CE6710" w:rsidRPr="00174008">
              <w:rPr>
                <w:rFonts w:asciiTheme="majorEastAsia" w:eastAsiaTheme="majorEastAsia" w:hAnsiTheme="majorEastAsia" w:cs="Arial"/>
                <w:bCs/>
                <w:noProof/>
                <w:color w:val="000000"/>
                <w:sz w:val="18"/>
                <w:szCs w:val="18"/>
              </w:rPr>
              <w:t>22</w:t>
            </w:r>
            <w:r w:rsidRPr="00174008">
              <w:rPr>
                <w:rFonts w:asciiTheme="majorEastAsia" w:eastAsiaTheme="majorEastAsia" w:hAnsiTheme="majorEastAsia" w:cs="Arial"/>
                <w:bCs/>
                <w:color w:val="000000"/>
                <w:sz w:val="18"/>
                <w:szCs w:val="18"/>
              </w:rPr>
              <w:fldChar w:fldCharType="end"/>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FD1512" w:rsidRPr="00174008" w:rsidRDefault="00D9785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fldChar w:fldCharType="begin"/>
            </w:r>
            <w:r w:rsidR="00CE6710" w:rsidRPr="00174008">
              <w:rPr>
                <w:rFonts w:asciiTheme="majorEastAsia" w:eastAsiaTheme="majorEastAsia" w:hAnsiTheme="majorEastAsia" w:cs="Arial"/>
                <w:bCs/>
                <w:color w:val="000000"/>
                <w:sz w:val="18"/>
                <w:szCs w:val="18"/>
              </w:rPr>
              <w:instrText xml:space="preserve"> =SUM(ABOVE) </w:instrText>
            </w:r>
            <w:r w:rsidRPr="00174008">
              <w:rPr>
                <w:rFonts w:asciiTheme="majorEastAsia" w:eastAsiaTheme="majorEastAsia" w:hAnsiTheme="majorEastAsia" w:cs="Arial"/>
                <w:bCs/>
                <w:color w:val="000000"/>
                <w:sz w:val="18"/>
                <w:szCs w:val="18"/>
              </w:rPr>
              <w:fldChar w:fldCharType="separate"/>
            </w:r>
            <w:r w:rsidR="00CE6710" w:rsidRPr="00174008">
              <w:rPr>
                <w:rFonts w:asciiTheme="majorEastAsia" w:eastAsiaTheme="majorEastAsia" w:hAnsiTheme="majorEastAsia" w:cs="Arial"/>
                <w:bCs/>
                <w:noProof/>
                <w:color w:val="000000"/>
                <w:sz w:val="18"/>
                <w:szCs w:val="18"/>
              </w:rPr>
              <w:t>3</w:t>
            </w:r>
            <w:r w:rsidRPr="00174008">
              <w:rPr>
                <w:rFonts w:asciiTheme="majorEastAsia" w:eastAsiaTheme="majorEastAsia" w:hAnsiTheme="majorEastAsia" w:cs="Arial"/>
                <w:bCs/>
                <w:color w:val="000000"/>
                <w:sz w:val="18"/>
                <w:szCs w:val="18"/>
              </w:rPr>
              <w:fldChar w:fldCharType="end"/>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FD1512" w:rsidRPr="00174008" w:rsidRDefault="00D9785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fldChar w:fldCharType="begin"/>
            </w:r>
            <w:r w:rsidR="0056062D" w:rsidRPr="00174008">
              <w:rPr>
                <w:rFonts w:asciiTheme="majorEastAsia" w:eastAsiaTheme="majorEastAsia" w:hAnsiTheme="majorEastAsia" w:cs="Arial"/>
                <w:bCs/>
                <w:color w:val="000000"/>
                <w:sz w:val="18"/>
                <w:szCs w:val="18"/>
              </w:rPr>
              <w:instrText xml:space="preserve"> =SUM(ABOVE) </w:instrText>
            </w:r>
            <w:r w:rsidRPr="00174008">
              <w:rPr>
                <w:rFonts w:asciiTheme="majorEastAsia" w:eastAsiaTheme="majorEastAsia" w:hAnsiTheme="majorEastAsia" w:cs="Arial"/>
                <w:bCs/>
                <w:color w:val="000000"/>
                <w:sz w:val="18"/>
                <w:szCs w:val="18"/>
              </w:rPr>
              <w:fldChar w:fldCharType="separate"/>
            </w:r>
            <w:r w:rsidR="0056062D" w:rsidRPr="00174008">
              <w:rPr>
                <w:rFonts w:asciiTheme="majorEastAsia" w:eastAsiaTheme="majorEastAsia" w:hAnsiTheme="majorEastAsia" w:cs="Arial"/>
                <w:bCs/>
                <w:color w:val="000000"/>
                <w:sz w:val="18"/>
                <w:szCs w:val="18"/>
              </w:rPr>
              <w:t>0</w:t>
            </w:r>
            <w:r w:rsidRPr="00174008">
              <w:rPr>
                <w:rFonts w:asciiTheme="majorEastAsia" w:eastAsiaTheme="majorEastAsia" w:hAnsiTheme="majorEastAsia" w:cs="Arial"/>
                <w:bCs/>
                <w:color w:val="000000"/>
                <w:sz w:val="18"/>
                <w:szCs w:val="18"/>
              </w:rPr>
              <w:fldChar w:fldCharType="end"/>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FD1512" w:rsidRPr="00174008" w:rsidRDefault="00D9785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fldChar w:fldCharType="begin"/>
            </w:r>
            <w:r w:rsidR="00CE6710" w:rsidRPr="00174008">
              <w:rPr>
                <w:rFonts w:asciiTheme="majorEastAsia" w:eastAsiaTheme="majorEastAsia" w:hAnsiTheme="majorEastAsia" w:cs="Arial"/>
                <w:bCs/>
                <w:color w:val="000000"/>
                <w:sz w:val="18"/>
                <w:szCs w:val="18"/>
              </w:rPr>
              <w:instrText xml:space="preserve"> =SUM(ABOVE) </w:instrText>
            </w:r>
            <w:r w:rsidRPr="00174008">
              <w:rPr>
                <w:rFonts w:asciiTheme="majorEastAsia" w:eastAsiaTheme="majorEastAsia" w:hAnsiTheme="majorEastAsia" w:cs="Arial"/>
                <w:bCs/>
                <w:color w:val="000000"/>
                <w:sz w:val="18"/>
                <w:szCs w:val="18"/>
              </w:rPr>
              <w:fldChar w:fldCharType="separate"/>
            </w:r>
            <w:r w:rsidR="00CE6710" w:rsidRPr="00174008">
              <w:rPr>
                <w:rFonts w:asciiTheme="majorEastAsia" w:eastAsiaTheme="majorEastAsia" w:hAnsiTheme="majorEastAsia" w:cs="Arial"/>
                <w:bCs/>
                <w:noProof/>
                <w:color w:val="000000"/>
                <w:sz w:val="18"/>
                <w:szCs w:val="18"/>
              </w:rPr>
              <w:t>0</w:t>
            </w:r>
            <w:r w:rsidRPr="00174008">
              <w:rPr>
                <w:rFonts w:asciiTheme="majorEastAsia" w:eastAsiaTheme="majorEastAsia" w:hAnsiTheme="majorEastAsia" w:cs="Arial"/>
                <w:bCs/>
                <w:color w:val="000000"/>
                <w:sz w:val="18"/>
                <w:szCs w:val="18"/>
              </w:rPr>
              <w:fldChar w:fldCharType="end"/>
            </w:r>
          </w:p>
        </w:tc>
        <w:tc>
          <w:tcPr>
            <w:tcW w:w="47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FD1512" w:rsidRPr="00174008" w:rsidRDefault="00D97850">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fldChar w:fldCharType="begin"/>
            </w:r>
            <w:r w:rsidR="00CE6710" w:rsidRPr="00174008">
              <w:rPr>
                <w:rFonts w:asciiTheme="majorEastAsia" w:eastAsiaTheme="majorEastAsia" w:hAnsiTheme="majorEastAsia" w:cs="Arial"/>
                <w:bCs/>
                <w:color w:val="000000"/>
                <w:sz w:val="18"/>
                <w:szCs w:val="18"/>
              </w:rPr>
              <w:instrText xml:space="preserve"> =SUM(ABOVE) </w:instrText>
            </w:r>
            <w:r w:rsidRPr="00174008">
              <w:rPr>
                <w:rFonts w:asciiTheme="majorEastAsia" w:eastAsiaTheme="majorEastAsia" w:hAnsiTheme="majorEastAsia" w:cs="Arial"/>
                <w:bCs/>
                <w:color w:val="000000"/>
                <w:sz w:val="18"/>
                <w:szCs w:val="18"/>
              </w:rPr>
              <w:fldChar w:fldCharType="separate"/>
            </w:r>
            <w:r w:rsidR="00CE6710" w:rsidRPr="00174008">
              <w:rPr>
                <w:rFonts w:asciiTheme="majorEastAsia" w:eastAsiaTheme="majorEastAsia" w:hAnsiTheme="majorEastAsia" w:cs="Arial"/>
                <w:bCs/>
                <w:noProof/>
                <w:color w:val="000000"/>
                <w:sz w:val="18"/>
                <w:szCs w:val="18"/>
              </w:rPr>
              <w:t>0</w:t>
            </w:r>
            <w:r w:rsidRPr="00174008">
              <w:rPr>
                <w:rFonts w:asciiTheme="majorEastAsia" w:eastAsiaTheme="majorEastAsia" w:hAnsiTheme="majorEastAsia" w:cs="Arial"/>
                <w:bCs/>
                <w:color w:val="000000"/>
                <w:sz w:val="18"/>
                <w:szCs w:val="18"/>
              </w:rPr>
              <w:fldChar w:fldCharType="end"/>
            </w:r>
          </w:p>
        </w:tc>
        <w:tc>
          <w:tcPr>
            <w:tcW w:w="47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FD1512" w:rsidRPr="00174008" w:rsidRDefault="00FD1512">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c>
          <w:tcPr>
            <w:tcW w:w="47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FD1512" w:rsidRPr="00174008" w:rsidRDefault="00FD1512">
            <w:pPr>
              <w:jc w:val="center"/>
              <w:rPr>
                <w:rFonts w:asciiTheme="majorEastAsia" w:eastAsiaTheme="majorEastAsia" w:hAnsiTheme="majorEastAsia" w:cs="Arial"/>
                <w:bCs/>
                <w:color w:val="000000"/>
                <w:sz w:val="18"/>
                <w:szCs w:val="18"/>
              </w:rPr>
            </w:pPr>
            <w:r w:rsidRPr="00174008">
              <w:rPr>
                <w:rFonts w:asciiTheme="majorEastAsia" w:eastAsiaTheme="majorEastAsia" w:hAnsiTheme="majorEastAsia" w:cs="Arial"/>
                <w:bCs/>
                <w:color w:val="000000"/>
                <w:sz w:val="18"/>
                <w:szCs w:val="18"/>
              </w:rPr>
              <w:t>0</w:t>
            </w:r>
          </w:p>
        </w:tc>
      </w:tr>
      <w:tr w:rsidR="00FD1512" w:rsidRPr="00174008" w:rsidTr="00CF31AB">
        <w:trPr>
          <w:jc w:val="center"/>
        </w:trPr>
        <w:tc>
          <w:tcPr>
            <w:tcW w:w="1516" w:type="dxa"/>
            <w:gridSpan w:val="2"/>
            <w:tcBorders>
              <w:top w:val="single" w:sz="4" w:space="0" w:color="auto"/>
              <w:left w:val="single" w:sz="4" w:space="0" w:color="auto"/>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FD1512" w:rsidRPr="00174008" w:rsidRDefault="00FD1512" w:rsidP="00100381">
            <w:pPr>
              <w:jc w:val="center"/>
              <w:rPr>
                <w:rFonts w:asciiTheme="majorEastAsia" w:eastAsiaTheme="majorEastAsia" w:hAnsiTheme="majorEastAsia" w:cs="Arial"/>
                <w:color w:val="000000"/>
                <w:sz w:val="18"/>
                <w:szCs w:val="18"/>
              </w:rPr>
            </w:pPr>
          </w:p>
        </w:tc>
        <w:tc>
          <w:tcPr>
            <w:tcW w:w="402" w:type="dxa"/>
            <w:tcBorders>
              <w:top w:val="single" w:sz="4" w:space="0" w:color="auto"/>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FD1512" w:rsidRPr="00174008" w:rsidRDefault="00FD1512" w:rsidP="00100381">
            <w:pPr>
              <w:jc w:val="center"/>
              <w:rPr>
                <w:rFonts w:asciiTheme="majorEastAsia" w:eastAsiaTheme="majorEastAsia" w:hAnsiTheme="majorEastAsia" w:cs="Arial"/>
                <w:color w:val="000000"/>
                <w:sz w:val="18"/>
                <w:szCs w:val="18"/>
              </w:rPr>
            </w:pPr>
          </w:p>
        </w:tc>
        <w:tc>
          <w:tcPr>
            <w:tcW w:w="460" w:type="dxa"/>
            <w:gridSpan w:val="2"/>
            <w:tcBorders>
              <w:top w:val="single" w:sz="4" w:space="0" w:color="auto"/>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FD1512" w:rsidRPr="00174008" w:rsidRDefault="00FD1512" w:rsidP="00100381">
            <w:pPr>
              <w:jc w:val="center"/>
              <w:rPr>
                <w:rFonts w:asciiTheme="majorEastAsia" w:eastAsiaTheme="majorEastAsia" w:hAnsiTheme="majorEastAsia" w:cs="Arial"/>
                <w:color w:val="000000"/>
                <w:sz w:val="18"/>
                <w:szCs w:val="18"/>
              </w:rPr>
            </w:pPr>
          </w:p>
        </w:tc>
        <w:tc>
          <w:tcPr>
            <w:tcW w:w="440" w:type="dxa"/>
            <w:gridSpan w:val="2"/>
            <w:tcBorders>
              <w:top w:val="single" w:sz="4" w:space="0" w:color="auto"/>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FD1512" w:rsidRPr="00174008" w:rsidRDefault="00FD1512" w:rsidP="00100381">
            <w:pPr>
              <w:jc w:val="center"/>
              <w:rPr>
                <w:rFonts w:asciiTheme="majorEastAsia" w:eastAsiaTheme="majorEastAsia" w:hAnsiTheme="majorEastAsia" w:cs="Arial"/>
                <w:color w:val="000000"/>
                <w:sz w:val="18"/>
                <w:szCs w:val="18"/>
              </w:rPr>
            </w:pPr>
          </w:p>
        </w:tc>
        <w:tc>
          <w:tcPr>
            <w:tcW w:w="460" w:type="dxa"/>
            <w:gridSpan w:val="2"/>
            <w:tcBorders>
              <w:top w:val="single" w:sz="4" w:space="0" w:color="auto"/>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FD1512" w:rsidRPr="00174008" w:rsidRDefault="00FD1512" w:rsidP="00100381">
            <w:pPr>
              <w:jc w:val="center"/>
              <w:rPr>
                <w:rFonts w:asciiTheme="majorEastAsia" w:eastAsiaTheme="majorEastAsia" w:hAnsiTheme="majorEastAsia" w:cs="Arial"/>
                <w:color w:val="000000"/>
                <w:sz w:val="18"/>
                <w:szCs w:val="18"/>
              </w:rPr>
            </w:pPr>
          </w:p>
        </w:tc>
        <w:tc>
          <w:tcPr>
            <w:tcW w:w="480" w:type="dxa"/>
            <w:gridSpan w:val="2"/>
            <w:tcBorders>
              <w:top w:val="single" w:sz="4" w:space="0" w:color="auto"/>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FD1512" w:rsidRPr="00174008" w:rsidRDefault="00FD1512" w:rsidP="00100381">
            <w:pPr>
              <w:jc w:val="center"/>
              <w:rPr>
                <w:rFonts w:asciiTheme="majorEastAsia" w:eastAsiaTheme="majorEastAsia" w:hAnsiTheme="majorEastAsia" w:cs="Arial"/>
                <w:color w:val="000000"/>
                <w:sz w:val="18"/>
                <w:szCs w:val="18"/>
              </w:rPr>
            </w:pPr>
          </w:p>
        </w:tc>
        <w:tc>
          <w:tcPr>
            <w:tcW w:w="460" w:type="dxa"/>
            <w:gridSpan w:val="2"/>
            <w:tcBorders>
              <w:top w:val="single" w:sz="4" w:space="0" w:color="auto"/>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FD1512" w:rsidRPr="00174008" w:rsidRDefault="00FD1512" w:rsidP="00100381">
            <w:pPr>
              <w:jc w:val="center"/>
              <w:rPr>
                <w:rFonts w:asciiTheme="majorEastAsia" w:eastAsiaTheme="majorEastAsia" w:hAnsiTheme="majorEastAsia" w:cs="Arial"/>
                <w:color w:val="000000"/>
                <w:sz w:val="18"/>
                <w:szCs w:val="18"/>
              </w:rPr>
            </w:pPr>
          </w:p>
        </w:tc>
        <w:tc>
          <w:tcPr>
            <w:tcW w:w="420" w:type="dxa"/>
            <w:gridSpan w:val="2"/>
            <w:tcBorders>
              <w:top w:val="single" w:sz="4" w:space="0" w:color="auto"/>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FD1512" w:rsidRPr="00174008" w:rsidRDefault="00FD1512" w:rsidP="00100381">
            <w:pPr>
              <w:jc w:val="center"/>
              <w:rPr>
                <w:rFonts w:asciiTheme="majorEastAsia" w:eastAsiaTheme="majorEastAsia" w:hAnsiTheme="majorEastAsia" w:cs="Arial"/>
                <w:color w:val="000000"/>
                <w:sz w:val="18"/>
                <w:szCs w:val="18"/>
              </w:rPr>
            </w:pPr>
          </w:p>
        </w:tc>
        <w:tc>
          <w:tcPr>
            <w:tcW w:w="480" w:type="dxa"/>
            <w:gridSpan w:val="2"/>
            <w:tcBorders>
              <w:top w:val="single" w:sz="4" w:space="0" w:color="auto"/>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FD1512" w:rsidRPr="00174008" w:rsidRDefault="00FD1512" w:rsidP="00100381">
            <w:pPr>
              <w:jc w:val="center"/>
              <w:rPr>
                <w:rFonts w:asciiTheme="majorEastAsia" w:eastAsiaTheme="majorEastAsia" w:hAnsiTheme="majorEastAsia" w:cs="Arial"/>
                <w:color w:val="000000"/>
                <w:sz w:val="18"/>
                <w:szCs w:val="18"/>
              </w:rPr>
            </w:pPr>
          </w:p>
        </w:tc>
        <w:tc>
          <w:tcPr>
            <w:tcW w:w="440" w:type="dxa"/>
            <w:gridSpan w:val="2"/>
            <w:tcBorders>
              <w:top w:val="single" w:sz="4" w:space="0" w:color="auto"/>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FD1512" w:rsidRPr="00174008" w:rsidRDefault="00FD1512" w:rsidP="00100381">
            <w:pPr>
              <w:jc w:val="center"/>
              <w:rPr>
                <w:rFonts w:asciiTheme="majorEastAsia" w:eastAsiaTheme="majorEastAsia" w:hAnsiTheme="majorEastAsia" w:cs="Arial"/>
                <w:color w:val="000000"/>
                <w:sz w:val="18"/>
                <w:szCs w:val="18"/>
              </w:rPr>
            </w:pPr>
          </w:p>
        </w:tc>
        <w:tc>
          <w:tcPr>
            <w:tcW w:w="520" w:type="dxa"/>
            <w:gridSpan w:val="2"/>
            <w:tcBorders>
              <w:top w:val="single" w:sz="4" w:space="0" w:color="auto"/>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FD1512" w:rsidRPr="00174008" w:rsidRDefault="00FD1512" w:rsidP="00100381">
            <w:pPr>
              <w:jc w:val="center"/>
              <w:rPr>
                <w:rFonts w:asciiTheme="majorEastAsia" w:eastAsiaTheme="majorEastAsia" w:hAnsiTheme="majorEastAsia" w:cs="Arial"/>
                <w:color w:val="000000"/>
                <w:sz w:val="18"/>
                <w:szCs w:val="18"/>
              </w:rPr>
            </w:pPr>
          </w:p>
        </w:tc>
        <w:tc>
          <w:tcPr>
            <w:tcW w:w="460" w:type="dxa"/>
            <w:gridSpan w:val="2"/>
            <w:tcBorders>
              <w:top w:val="single" w:sz="4" w:space="0" w:color="auto"/>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FD1512" w:rsidRPr="00174008" w:rsidRDefault="00FD1512" w:rsidP="00100381">
            <w:pPr>
              <w:jc w:val="center"/>
              <w:rPr>
                <w:rFonts w:asciiTheme="majorEastAsia" w:eastAsiaTheme="majorEastAsia" w:hAnsiTheme="majorEastAsia" w:cs="Arial"/>
                <w:color w:val="000000"/>
                <w:sz w:val="18"/>
                <w:szCs w:val="18"/>
              </w:rPr>
            </w:pPr>
          </w:p>
        </w:tc>
        <w:tc>
          <w:tcPr>
            <w:tcW w:w="500" w:type="dxa"/>
            <w:gridSpan w:val="2"/>
            <w:tcBorders>
              <w:top w:val="single" w:sz="4" w:space="0" w:color="auto"/>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FD1512" w:rsidRPr="00174008" w:rsidRDefault="00FD1512" w:rsidP="00100381">
            <w:pPr>
              <w:jc w:val="center"/>
              <w:rPr>
                <w:rFonts w:asciiTheme="majorEastAsia" w:eastAsiaTheme="majorEastAsia" w:hAnsiTheme="majorEastAsia" w:cs="Arial"/>
                <w:color w:val="000000"/>
                <w:sz w:val="18"/>
                <w:szCs w:val="18"/>
              </w:rPr>
            </w:pPr>
          </w:p>
        </w:tc>
        <w:tc>
          <w:tcPr>
            <w:tcW w:w="480" w:type="dxa"/>
            <w:gridSpan w:val="2"/>
            <w:tcBorders>
              <w:top w:val="single" w:sz="4" w:space="0" w:color="auto"/>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FD1512" w:rsidRPr="00174008" w:rsidRDefault="00FD1512" w:rsidP="00100381">
            <w:pPr>
              <w:jc w:val="center"/>
              <w:rPr>
                <w:rFonts w:asciiTheme="majorEastAsia" w:eastAsiaTheme="majorEastAsia" w:hAnsiTheme="majorEastAsia" w:cs="Arial"/>
                <w:color w:val="000000"/>
                <w:sz w:val="18"/>
                <w:szCs w:val="18"/>
              </w:rPr>
            </w:pPr>
          </w:p>
        </w:tc>
        <w:tc>
          <w:tcPr>
            <w:tcW w:w="480" w:type="dxa"/>
            <w:gridSpan w:val="2"/>
            <w:tcBorders>
              <w:top w:val="single" w:sz="4" w:space="0" w:color="auto"/>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FD1512" w:rsidRPr="00174008" w:rsidRDefault="00FD1512" w:rsidP="00100381">
            <w:pPr>
              <w:jc w:val="center"/>
              <w:rPr>
                <w:rFonts w:asciiTheme="majorEastAsia" w:eastAsiaTheme="majorEastAsia" w:hAnsiTheme="majorEastAsia" w:cs="Arial"/>
                <w:color w:val="000000"/>
                <w:sz w:val="18"/>
                <w:szCs w:val="18"/>
              </w:rPr>
            </w:pPr>
          </w:p>
        </w:tc>
        <w:tc>
          <w:tcPr>
            <w:tcW w:w="480" w:type="dxa"/>
            <w:gridSpan w:val="2"/>
            <w:tcBorders>
              <w:top w:val="single" w:sz="4" w:space="0" w:color="auto"/>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FD1512" w:rsidRPr="00174008" w:rsidRDefault="00FD1512" w:rsidP="00100381">
            <w:pPr>
              <w:jc w:val="center"/>
              <w:rPr>
                <w:rFonts w:asciiTheme="majorEastAsia" w:eastAsiaTheme="majorEastAsia" w:hAnsiTheme="majorEastAsia" w:cs="Arial"/>
                <w:color w:val="000000"/>
                <w:sz w:val="18"/>
                <w:szCs w:val="18"/>
              </w:rPr>
            </w:pPr>
          </w:p>
        </w:tc>
        <w:tc>
          <w:tcPr>
            <w:tcW w:w="420" w:type="dxa"/>
            <w:gridSpan w:val="2"/>
            <w:tcBorders>
              <w:top w:val="single" w:sz="4" w:space="0" w:color="auto"/>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FD1512" w:rsidRPr="00174008" w:rsidRDefault="00FD1512" w:rsidP="00100381">
            <w:pPr>
              <w:jc w:val="center"/>
              <w:rPr>
                <w:rFonts w:asciiTheme="majorEastAsia" w:eastAsiaTheme="majorEastAsia" w:hAnsiTheme="majorEastAsia" w:cs="Arial"/>
                <w:color w:val="000000"/>
                <w:sz w:val="18"/>
                <w:szCs w:val="18"/>
              </w:rPr>
            </w:pPr>
          </w:p>
        </w:tc>
        <w:tc>
          <w:tcPr>
            <w:tcW w:w="580" w:type="dxa"/>
            <w:gridSpan w:val="2"/>
            <w:tcBorders>
              <w:top w:val="single" w:sz="4" w:space="0" w:color="auto"/>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FD1512" w:rsidRPr="00174008" w:rsidRDefault="00FD1512" w:rsidP="00100381">
            <w:pPr>
              <w:jc w:val="center"/>
              <w:rPr>
                <w:rFonts w:asciiTheme="majorEastAsia" w:eastAsiaTheme="majorEastAsia" w:hAnsiTheme="majorEastAsia" w:cs="Arial"/>
                <w:color w:val="000000"/>
                <w:sz w:val="18"/>
                <w:szCs w:val="18"/>
              </w:rPr>
            </w:pPr>
          </w:p>
        </w:tc>
        <w:tc>
          <w:tcPr>
            <w:tcW w:w="582" w:type="dxa"/>
            <w:gridSpan w:val="2"/>
            <w:tcBorders>
              <w:top w:val="single" w:sz="4" w:space="0" w:color="auto"/>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FD1512" w:rsidRPr="00174008" w:rsidRDefault="00FD1512" w:rsidP="00100381">
            <w:pPr>
              <w:jc w:val="center"/>
              <w:rPr>
                <w:rFonts w:asciiTheme="majorEastAsia" w:eastAsiaTheme="majorEastAsia" w:hAnsiTheme="majorEastAsia" w:cs="Arial"/>
                <w:color w:val="000000"/>
                <w:sz w:val="18"/>
                <w:szCs w:val="18"/>
              </w:rPr>
            </w:pPr>
          </w:p>
        </w:tc>
      </w:tr>
      <w:tr w:rsidR="00FD1512" w:rsidRPr="00174008" w:rsidTr="007D15BD">
        <w:trPr>
          <w:jc w:val="center"/>
          <w:hidden/>
        </w:trPr>
        <w:tc>
          <w:tcPr>
            <w:tcW w:w="719" w:type="dxa"/>
            <w:vAlign w:val="center"/>
            <w:hideMark/>
          </w:tcPr>
          <w:p w:rsidR="00FD1512" w:rsidRPr="00174008" w:rsidRDefault="00FD1512" w:rsidP="00100381">
            <w:pPr>
              <w:rPr>
                <w:rFonts w:asciiTheme="majorEastAsia" w:eastAsiaTheme="majorEastAsia" w:hAnsiTheme="majorEastAsia" w:cs="宋体"/>
                <w:vanish/>
                <w:sz w:val="24"/>
                <w:szCs w:val="24"/>
              </w:rPr>
            </w:pPr>
          </w:p>
        </w:tc>
        <w:tc>
          <w:tcPr>
            <w:tcW w:w="797" w:type="dxa"/>
            <w:vAlign w:val="center"/>
            <w:hideMark/>
          </w:tcPr>
          <w:p w:rsidR="00FD1512" w:rsidRPr="00174008" w:rsidRDefault="00FD1512" w:rsidP="00100381">
            <w:pPr>
              <w:rPr>
                <w:rFonts w:asciiTheme="majorEastAsia" w:eastAsiaTheme="majorEastAsia" w:hAnsiTheme="majorEastAsia" w:cs="宋体"/>
                <w:vanish/>
                <w:sz w:val="24"/>
                <w:szCs w:val="24"/>
              </w:rPr>
            </w:pPr>
          </w:p>
        </w:tc>
        <w:tc>
          <w:tcPr>
            <w:tcW w:w="402" w:type="dxa"/>
            <w:vAlign w:val="center"/>
            <w:hideMark/>
          </w:tcPr>
          <w:p w:rsidR="00FD1512" w:rsidRPr="00174008" w:rsidRDefault="00FD1512" w:rsidP="00100381">
            <w:pPr>
              <w:rPr>
                <w:rFonts w:asciiTheme="majorEastAsia" w:eastAsiaTheme="majorEastAsia" w:hAnsiTheme="majorEastAsia" w:cs="宋体"/>
                <w:vanish/>
                <w:sz w:val="24"/>
                <w:szCs w:val="24"/>
              </w:rPr>
            </w:pPr>
          </w:p>
        </w:tc>
        <w:tc>
          <w:tcPr>
            <w:tcW w:w="460" w:type="dxa"/>
            <w:gridSpan w:val="2"/>
            <w:vAlign w:val="center"/>
            <w:hideMark/>
          </w:tcPr>
          <w:p w:rsidR="00FD1512" w:rsidRPr="00174008" w:rsidRDefault="00FD1512" w:rsidP="00100381">
            <w:pPr>
              <w:rPr>
                <w:rFonts w:asciiTheme="majorEastAsia" w:eastAsiaTheme="majorEastAsia" w:hAnsiTheme="majorEastAsia" w:cs="宋体"/>
                <w:vanish/>
                <w:sz w:val="24"/>
                <w:szCs w:val="24"/>
              </w:rPr>
            </w:pPr>
          </w:p>
        </w:tc>
        <w:tc>
          <w:tcPr>
            <w:tcW w:w="440" w:type="dxa"/>
            <w:gridSpan w:val="2"/>
            <w:vAlign w:val="center"/>
            <w:hideMark/>
          </w:tcPr>
          <w:p w:rsidR="00FD1512" w:rsidRPr="00174008" w:rsidRDefault="00FD1512" w:rsidP="00100381">
            <w:pPr>
              <w:rPr>
                <w:rFonts w:asciiTheme="majorEastAsia" w:eastAsiaTheme="majorEastAsia" w:hAnsiTheme="majorEastAsia" w:cs="宋体"/>
                <w:vanish/>
                <w:sz w:val="24"/>
                <w:szCs w:val="24"/>
              </w:rPr>
            </w:pPr>
          </w:p>
        </w:tc>
        <w:tc>
          <w:tcPr>
            <w:tcW w:w="460" w:type="dxa"/>
            <w:gridSpan w:val="2"/>
            <w:vAlign w:val="center"/>
            <w:hideMark/>
          </w:tcPr>
          <w:p w:rsidR="00FD1512" w:rsidRPr="00174008" w:rsidRDefault="00FD1512" w:rsidP="00100381">
            <w:pPr>
              <w:rPr>
                <w:rFonts w:asciiTheme="majorEastAsia" w:eastAsiaTheme="majorEastAsia" w:hAnsiTheme="majorEastAsia" w:cs="宋体"/>
                <w:vanish/>
                <w:sz w:val="24"/>
                <w:szCs w:val="24"/>
              </w:rPr>
            </w:pPr>
          </w:p>
        </w:tc>
        <w:tc>
          <w:tcPr>
            <w:tcW w:w="480" w:type="dxa"/>
            <w:gridSpan w:val="2"/>
            <w:vAlign w:val="center"/>
            <w:hideMark/>
          </w:tcPr>
          <w:p w:rsidR="00FD1512" w:rsidRPr="00174008" w:rsidRDefault="00FD1512" w:rsidP="00100381">
            <w:pPr>
              <w:rPr>
                <w:rFonts w:asciiTheme="majorEastAsia" w:eastAsiaTheme="majorEastAsia" w:hAnsiTheme="majorEastAsia" w:cs="宋体"/>
                <w:vanish/>
                <w:sz w:val="24"/>
                <w:szCs w:val="24"/>
              </w:rPr>
            </w:pPr>
          </w:p>
        </w:tc>
        <w:tc>
          <w:tcPr>
            <w:tcW w:w="460" w:type="dxa"/>
            <w:gridSpan w:val="2"/>
            <w:vAlign w:val="center"/>
            <w:hideMark/>
          </w:tcPr>
          <w:p w:rsidR="00FD1512" w:rsidRPr="00174008" w:rsidRDefault="00FD1512" w:rsidP="00100381">
            <w:pPr>
              <w:rPr>
                <w:rFonts w:asciiTheme="majorEastAsia" w:eastAsiaTheme="majorEastAsia" w:hAnsiTheme="majorEastAsia" w:cs="宋体"/>
                <w:vanish/>
                <w:sz w:val="24"/>
                <w:szCs w:val="24"/>
              </w:rPr>
            </w:pPr>
          </w:p>
        </w:tc>
        <w:tc>
          <w:tcPr>
            <w:tcW w:w="420" w:type="dxa"/>
            <w:gridSpan w:val="2"/>
            <w:vAlign w:val="center"/>
            <w:hideMark/>
          </w:tcPr>
          <w:p w:rsidR="00FD1512" w:rsidRPr="00174008" w:rsidRDefault="00FD1512" w:rsidP="00100381">
            <w:pPr>
              <w:rPr>
                <w:rFonts w:asciiTheme="majorEastAsia" w:eastAsiaTheme="majorEastAsia" w:hAnsiTheme="majorEastAsia" w:cs="宋体"/>
                <w:vanish/>
                <w:sz w:val="24"/>
                <w:szCs w:val="24"/>
              </w:rPr>
            </w:pPr>
          </w:p>
        </w:tc>
        <w:tc>
          <w:tcPr>
            <w:tcW w:w="480" w:type="dxa"/>
            <w:gridSpan w:val="2"/>
            <w:vAlign w:val="center"/>
            <w:hideMark/>
          </w:tcPr>
          <w:p w:rsidR="00FD1512" w:rsidRPr="00174008" w:rsidRDefault="00FD1512" w:rsidP="00100381">
            <w:pPr>
              <w:rPr>
                <w:rFonts w:asciiTheme="majorEastAsia" w:eastAsiaTheme="majorEastAsia" w:hAnsiTheme="majorEastAsia" w:cs="宋体"/>
                <w:vanish/>
                <w:sz w:val="24"/>
                <w:szCs w:val="24"/>
              </w:rPr>
            </w:pPr>
          </w:p>
        </w:tc>
        <w:tc>
          <w:tcPr>
            <w:tcW w:w="440" w:type="dxa"/>
            <w:gridSpan w:val="2"/>
            <w:vAlign w:val="center"/>
            <w:hideMark/>
          </w:tcPr>
          <w:p w:rsidR="00FD1512" w:rsidRPr="00174008" w:rsidRDefault="00FD1512" w:rsidP="00100381">
            <w:pPr>
              <w:rPr>
                <w:rFonts w:asciiTheme="majorEastAsia" w:eastAsiaTheme="majorEastAsia" w:hAnsiTheme="majorEastAsia" w:cs="宋体"/>
                <w:vanish/>
                <w:sz w:val="24"/>
                <w:szCs w:val="24"/>
              </w:rPr>
            </w:pPr>
          </w:p>
        </w:tc>
        <w:tc>
          <w:tcPr>
            <w:tcW w:w="520" w:type="dxa"/>
            <w:gridSpan w:val="2"/>
            <w:vAlign w:val="center"/>
            <w:hideMark/>
          </w:tcPr>
          <w:p w:rsidR="00FD1512" w:rsidRPr="00174008" w:rsidRDefault="00FD1512" w:rsidP="00100381">
            <w:pPr>
              <w:rPr>
                <w:rFonts w:asciiTheme="majorEastAsia" w:eastAsiaTheme="majorEastAsia" w:hAnsiTheme="majorEastAsia" w:cs="宋体"/>
                <w:vanish/>
                <w:sz w:val="24"/>
                <w:szCs w:val="24"/>
              </w:rPr>
            </w:pPr>
          </w:p>
        </w:tc>
        <w:tc>
          <w:tcPr>
            <w:tcW w:w="460" w:type="dxa"/>
            <w:gridSpan w:val="2"/>
            <w:vAlign w:val="center"/>
            <w:hideMark/>
          </w:tcPr>
          <w:p w:rsidR="00FD1512" w:rsidRPr="00174008" w:rsidRDefault="00FD1512" w:rsidP="00100381">
            <w:pPr>
              <w:rPr>
                <w:rFonts w:asciiTheme="majorEastAsia" w:eastAsiaTheme="majorEastAsia" w:hAnsiTheme="majorEastAsia" w:cs="宋体"/>
                <w:vanish/>
                <w:sz w:val="24"/>
                <w:szCs w:val="24"/>
              </w:rPr>
            </w:pPr>
          </w:p>
        </w:tc>
        <w:tc>
          <w:tcPr>
            <w:tcW w:w="500" w:type="dxa"/>
            <w:gridSpan w:val="2"/>
            <w:vAlign w:val="center"/>
            <w:hideMark/>
          </w:tcPr>
          <w:p w:rsidR="00FD1512" w:rsidRPr="00174008" w:rsidRDefault="00FD1512" w:rsidP="00100381">
            <w:pPr>
              <w:rPr>
                <w:rFonts w:asciiTheme="majorEastAsia" w:eastAsiaTheme="majorEastAsia" w:hAnsiTheme="majorEastAsia" w:cs="宋体"/>
                <w:vanish/>
                <w:sz w:val="24"/>
                <w:szCs w:val="24"/>
              </w:rPr>
            </w:pPr>
          </w:p>
        </w:tc>
        <w:tc>
          <w:tcPr>
            <w:tcW w:w="480" w:type="dxa"/>
            <w:gridSpan w:val="2"/>
            <w:vAlign w:val="center"/>
            <w:hideMark/>
          </w:tcPr>
          <w:p w:rsidR="00FD1512" w:rsidRPr="00174008" w:rsidRDefault="00FD1512" w:rsidP="00100381">
            <w:pPr>
              <w:rPr>
                <w:rFonts w:asciiTheme="majorEastAsia" w:eastAsiaTheme="majorEastAsia" w:hAnsiTheme="majorEastAsia" w:cs="宋体"/>
                <w:vanish/>
                <w:sz w:val="24"/>
                <w:szCs w:val="24"/>
              </w:rPr>
            </w:pPr>
          </w:p>
        </w:tc>
        <w:tc>
          <w:tcPr>
            <w:tcW w:w="480" w:type="dxa"/>
            <w:gridSpan w:val="2"/>
            <w:vAlign w:val="center"/>
            <w:hideMark/>
          </w:tcPr>
          <w:p w:rsidR="00FD1512" w:rsidRPr="00174008" w:rsidRDefault="00FD1512" w:rsidP="00100381">
            <w:pPr>
              <w:rPr>
                <w:rFonts w:asciiTheme="majorEastAsia" w:eastAsiaTheme="majorEastAsia" w:hAnsiTheme="majorEastAsia" w:cs="宋体"/>
                <w:vanish/>
                <w:sz w:val="24"/>
                <w:szCs w:val="24"/>
              </w:rPr>
            </w:pPr>
          </w:p>
        </w:tc>
        <w:tc>
          <w:tcPr>
            <w:tcW w:w="480" w:type="dxa"/>
            <w:gridSpan w:val="2"/>
            <w:vAlign w:val="center"/>
            <w:hideMark/>
          </w:tcPr>
          <w:p w:rsidR="00FD1512" w:rsidRPr="00174008" w:rsidRDefault="00FD1512" w:rsidP="00100381">
            <w:pPr>
              <w:rPr>
                <w:rFonts w:asciiTheme="majorEastAsia" w:eastAsiaTheme="majorEastAsia" w:hAnsiTheme="majorEastAsia" w:cs="宋体"/>
                <w:vanish/>
                <w:sz w:val="24"/>
                <w:szCs w:val="24"/>
              </w:rPr>
            </w:pPr>
          </w:p>
        </w:tc>
        <w:tc>
          <w:tcPr>
            <w:tcW w:w="420" w:type="dxa"/>
            <w:gridSpan w:val="2"/>
            <w:vAlign w:val="center"/>
            <w:hideMark/>
          </w:tcPr>
          <w:p w:rsidR="00FD1512" w:rsidRPr="00174008" w:rsidRDefault="00FD1512" w:rsidP="00100381">
            <w:pPr>
              <w:rPr>
                <w:rFonts w:asciiTheme="majorEastAsia" w:eastAsiaTheme="majorEastAsia" w:hAnsiTheme="majorEastAsia" w:cs="宋体"/>
                <w:vanish/>
                <w:sz w:val="24"/>
                <w:szCs w:val="24"/>
              </w:rPr>
            </w:pPr>
          </w:p>
        </w:tc>
        <w:tc>
          <w:tcPr>
            <w:tcW w:w="580" w:type="dxa"/>
            <w:gridSpan w:val="2"/>
            <w:vAlign w:val="center"/>
            <w:hideMark/>
          </w:tcPr>
          <w:p w:rsidR="00FD1512" w:rsidRPr="00174008" w:rsidRDefault="00FD1512" w:rsidP="00100381">
            <w:pPr>
              <w:rPr>
                <w:rFonts w:asciiTheme="majorEastAsia" w:eastAsiaTheme="majorEastAsia" w:hAnsiTheme="majorEastAsia" w:cs="宋体"/>
                <w:vanish/>
                <w:sz w:val="24"/>
                <w:szCs w:val="24"/>
              </w:rPr>
            </w:pPr>
          </w:p>
        </w:tc>
        <w:tc>
          <w:tcPr>
            <w:tcW w:w="582" w:type="dxa"/>
            <w:gridSpan w:val="2"/>
            <w:vAlign w:val="center"/>
            <w:hideMark/>
          </w:tcPr>
          <w:p w:rsidR="00FD1512" w:rsidRPr="00174008" w:rsidRDefault="00FD1512" w:rsidP="00100381">
            <w:pPr>
              <w:rPr>
                <w:rFonts w:asciiTheme="majorEastAsia" w:eastAsiaTheme="majorEastAsia" w:hAnsiTheme="majorEastAsia" w:cs="宋体"/>
                <w:vanish/>
                <w:sz w:val="24"/>
                <w:szCs w:val="24"/>
              </w:rPr>
            </w:pPr>
          </w:p>
        </w:tc>
      </w:tr>
    </w:tbl>
    <w:p w:rsidR="008108FF" w:rsidRPr="00174008" w:rsidRDefault="008108FF" w:rsidP="008108FF">
      <w:pPr>
        <w:snapToGrid w:val="0"/>
        <w:ind w:firstLineChars="150" w:firstLine="196"/>
        <w:rPr>
          <w:rFonts w:asciiTheme="majorEastAsia" w:eastAsiaTheme="majorEastAsia" w:hAnsiTheme="majorEastAsia"/>
          <w:b/>
          <w:color w:val="000000"/>
          <w:sz w:val="13"/>
          <w:szCs w:val="13"/>
        </w:rPr>
      </w:pPr>
    </w:p>
    <w:p w:rsidR="00F930A4" w:rsidRPr="00174008" w:rsidRDefault="00F930A4" w:rsidP="008108FF">
      <w:pPr>
        <w:snapToGrid w:val="0"/>
        <w:spacing w:line="360" w:lineRule="auto"/>
        <w:ind w:firstLineChars="150" w:firstLine="482"/>
        <w:rPr>
          <w:rFonts w:asciiTheme="majorEastAsia" w:eastAsiaTheme="majorEastAsia" w:hAnsiTheme="majorEastAsia"/>
          <w:color w:val="000000"/>
        </w:rPr>
      </w:pPr>
      <w:r w:rsidRPr="00174008">
        <w:rPr>
          <w:rFonts w:asciiTheme="majorEastAsia" w:eastAsiaTheme="majorEastAsia" w:hAnsiTheme="majorEastAsia" w:hint="eastAsia"/>
          <w:b/>
          <w:color w:val="000000"/>
        </w:rPr>
        <w:t>（四）电子法院应用情况</w:t>
      </w:r>
    </w:p>
    <w:p w:rsidR="00D60C02" w:rsidRPr="00174008" w:rsidRDefault="00636A9E" w:rsidP="00114048">
      <w:pPr>
        <w:snapToGrid w:val="0"/>
        <w:spacing w:line="360" w:lineRule="auto"/>
        <w:ind w:firstLine="645"/>
        <w:rPr>
          <w:rFonts w:asciiTheme="majorEastAsia" w:eastAsiaTheme="majorEastAsia" w:hAnsiTheme="majorEastAsia"/>
          <w:color w:val="000000"/>
        </w:rPr>
      </w:pPr>
      <w:r w:rsidRPr="00174008">
        <w:rPr>
          <w:rFonts w:asciiTheme="majorEastAsia" w:eastAsiaTheme="majorEastAsia" w:hAnsiTheme="majorEastAsia" w:hint="eastAsia"/>
          <w:color w:val="000000"/>
        </w:rPr>
        <w:t>2017年</w:t>
      </w:r>
      <w:r w:rsidR="003B6014" w:rsidRPr="00174008">
        <w:rPr>
          <w:rFonts w:asciiTheme="majorEastAsia" w:eastAsiaTheme="majorEastAsia" w:hAnsiTheme="majorEastAsia" w:hint="eastAsia"/>
          <w:color w:val="000000"/>
        </w:rPr>
        <w:t>上半年</w:t>
      </w:r>
      <w:r w:rsidR="0028747A" w:rsidRPr="00174008">
        <w:rPr>
          <w:rFonts w:asciiTheme="majorEastAsia" w:eastAsiaTheme="majorEastAsia" w:hAnsiTheme="majorEastAsia" w:hint="eastAsia"/>
          <w:color w:val="000000"/>
        </w:rPr>
        <w:t>和龙市人民法院</w:t>
      </w:r>
      <w:r w:rsidR="0056764A" w:rsidRPr="00174008">
        <w:rPr>
          <w:rFonts w:asciiTheme="majorEastAsia" w:eastAsiaTheme="majorEastAsia" w:hAnsiTheme="majorEastAsia" w:hint="eastAsia"/>
          <w:color w:val="000000"/>
        </w:rPr>
        <w:t>网上立案</w:t>
      </w:r>
      <w:r w:rsidR="00682A39" w:rsidRPr="00174008">
        <w:rPr>
          <w:rFonts w:asciiTheme="majorEastAsia" w:eastAsiaTheme="majorEastAsia" w:hAnsiTheme="majorEastAsia" w:hint="eastAsia"/>
          <w:color w:val="000000"/>
        </w:rPr>
        <w:t>750</w:t>
      </w:r>
      <w:r w:rsidR="00AF410E" w:rsidRPr="00174008">
        <w:rPr>
          <w:rFonts w:asciiTheme="majorEastAsia" w:eastAsiaTheme="majorEastAsia" w:hAnsiTheme="majorEastAsia" w:hint="eastAsia"/>
          <w:color w:val="000000"/>
        </w:rPr>
        <w:t>件，网上交费</w:t>
      </w:r>
      <w:r w:rsidR="00682A39" w:rsidRPr="00174008">
        <w:rPr>
          <w:rFonts w:asciiTheme="majorEastAsia" w:eastAsiaTheme="majorEastAsia" w:hAnsiTheme="majorEastAsia" w:hint="eastAsia"/>
          <w:color w:val="000000"/>
        </w:rPr>
        <w:t>81件，</w:t>
      </w:r>
      <w:r w:rsidR="00AF410E" w:rsidRPr="00174008">
        <w:rPr>
          <w:rFonts w:asciiTheme="majorEastAsia" w:eastAsiaTheme="majorEastAsia" w:hAnsiTheme="majorEastAsia" w:hint="eastAsia"/>
          <w:color w:val="000000"/>
        </w:rPr>
        <w:t>电子送达</w:t>
      </w:r>
      <w:r w:rsidR="00682A39" w:rsidRPr="00174008">
        <w:rPr>
          <w:rFonts w:asciiTheme="majorEastAsia" w:eastAsiaTheme="majorEastAsia" w:hAnsiTheme="majorEastAsia" w:hint="eastAsia"/>
          <w:color w:val="000000"/>
        </w:rPr>
        <w:t>315件，审诉辩3件，</w:t>
      </w:r>
      <w:r w:rsidR="00AF410E" w:rsidRPr="00174008">
        <w:rPr>
          <w:rFonts w:asciiTheme="majorEastAsia" w:eastAsiaTheme="majorEastAsia" w:hAnsiTheme="majorEastAsia" w:hint="eastAsia"/>
          <w:color w:val="000000"/>
        </w:rPr>
        <w:t>网上阅卷</w:t>
      </w:r>
      <w:r w:rsidR="00921660" w:rsidRPr="00174008">
        <w:rPr>
          <w:rFonts w:asciiTheme="majorEastAsia" w:eastAsiaTheme="majorEastAsia" w:hAnsiTheme="majorEastAsia" w:hint="eastAsia"/>
          <w:color w:val="000000"/>
        </w:rPr>
        <w:t>、</w:t>
      </w:r>
      <w:r w:rsidR="00AF410E" w:rsidRPr="00174008">
        <w:rPr>
          <w:rFonts w:asciiTheme="majorEastAsia" w:eastAsiaTheme="majorEastAsia" w:hAnsiTheme="majorEastAsia" w:hint="eastAsia"/>
          <w:color w:val="000000"/>
        </w:rPr>
        <w:t>云会议</w:t>
      </w:r>
      <w:r w:rsidR="00921660" w:rsidRPr="00174008">
        <w:rPr>
          <w:rFonts w:asciiTheme="majorEastAsia" w:eastAsiaTheme="majorEastAsia" w:hAnsiTheme="majorEastAsia" w:hint="eastAsia"/>
          <w:color w:val="000000"/>
        </w:rPr>
        <w:t>、</w:t>
      </w:r>
      <w:r w:rsidR="00AF410E" w:rsidRPr="00174008">
        <w:rPr>
          <w:rFonts w:asciiTheme="majorEastAsia" w:eastAsiaTheme="majorEastAsia" w:hAnsiTheme="majorEastAsia" w:hint="eastAsia"/>
          <w:color w:val="000000"/>
        </w:rPr>
        <w:t>证据交换</w:t>
      </w:r>
      <w:r w:rsidR="00921660" w:rsidRPr="00174008">
        <w:rPr>
          <w:rFonts w:asciiTheme="majorEastAsia" w:eastAsiaTheme="majorEastAsia" w:hAnsiTheme="majorEastAsia" w:hint="eastAsia"/>
          <w:color w:val="000000"/>
        </w:rPr>
        <w:t>均未应用</w:t>
      </w:r>
      <w:r w:rsidR="005A0079" w:rsidRPr="00174008">
        <w:rPr>
          <w:rFonts w:asciiTheme="majorEastAsia" w:eastAsiaTheme="majorEastAsia" w:hAnsiTheme="majorEastAsia" w:hint="eastAsia"/>
          <w:color w:val="000000"/>
        </w:rPr>
        <w:t>。</w:t>
      </w:r>
    </w:p>
    <w:p w:rsidR="0056764A" w:rsidRPr="00174008" w:rsidRDefault="0056764A" w:rsidP="001B5811">
      <w:pPr>
        <w:snapToGrid w:val="0"/>
        <w:spacing w:line="360" w:lineRule="auto"/>
        <w:ind w:firstLineChars="200" w:firstLine="643"/>
        <w:rPr>
          <w:rFonts w:asciiTheme="majorEastAsia" w:eastAsiaTheme="majorEastAsia" w:hAnsiTheme="majorEastAsia"/>
          <w:color w:val="000000"/>
        </w:rPr>
      </w:pPr>
      <w:r w:rsidRPr="00174008">
        <w:rPr>
          <w:rFonts w:asciiTheme="majorEastAsia" w:eastAsiaTheme="majorEastAsia" w:hAnsiTheme="majorEastAsia" w:hint="eastAsia"/>
          <w:b/>
          <w:color w:val="000000"/>
        </w:rPr>
        <w:t>（</w:t>
      </w:r>
      <w:r w:rsidR="001B5811" w:rsidRPr="00174008">
        <w:rPr>
          <w:rFonts w:asciiTheme="majorEastAsia" w:eastAsiaTheme="majorEastAsia" w:hAnsiTheme="majorEastAsia" w:hint="eastAsia"/>
          <w:b/>
          <w:color w:val="000000"/>
        </w:rPr>
        <w:t>六</w:t>
      </w:r>
      <w:r w:rsidRPr="00174008">
        <w:rPr>
          <w:rFonts w:asciiTheme="majorEastAsia" w:eastAsiaTheme="majorEastAsia" w:hAnsiTheme="majorEastAsia" w:hint="eastAsia"/>
          <w:b/>
          <w:color w:val="000000"/>
        </w:rPr>
        <w:t>）</w:t>
      </w:r>
      <w:r w:rsidR="00C373A3" w:rsidRPr="00174008">
        <w:rPr>
          <w:rFonts w:asciiTheme="majorEastAsia" w:eastAsiaTheme="majorEastAsia" w:hAnsiTheme="majorEastAsia" w:hint="eastAsia"/>
          <w:b/>
          <w:color w:val="000000"/>
        </w:rPr>
        <w:t>裁判文书上网</w:t>
      </w:r>
      <w:r w:rsidRPr="00174008">
        <w:rPr>
          <w:rFonts w:asciiTheme="majorEastAsia" w:eastAsiaTheme="majorEastAsia" w:hAnsiTheme="majorEastAsia" w:hint="eastAsia"/>
          <w:b/>
          <w:color w:val="000000"/>
        </w:rPr>
        <w:t>情况</w:t>
      </w:r>
    </w:p>
    <w:p w:rsidR="0056764A" w:rsidRPr="00174008" w:rsidRDefault="00636A9E" w:rsidP="0056764A">
      <w:pPr>
        <w:snapToGrid w:val="0"/>
        <w:spacing w:line="360" w:lineRule="auto"/>
        <w:ind w:firstLine="645"/>
        <w:rPr>
          <w:rFonts w:asciiTheme="majorEastAsia" w:eastAsiaTheme="majorEastAsia" w:hAnsiTheme="majorEastAsia"/>
          <w:color w:val="000000"/>
        </w:rPr>
      </w:pPr>
      <w:r w:rsidRPr="00174008">
        <w:rPr>
          <w:rFonts w:asciiTheme="majorEastAsia" w:eastAsiaTheme="majorEastAsia" w:hAnsiTheme="majorEastAsia" w:hint="eastAsia"/>
          <w:color w:val="000000"/>
        </w:rPr>
        <w:t>2017年</w:t>
      </w:r>
      <w:r w:rsidR="003B6014" w:rsidRPr="00174008">
        <w:rPr>
          <w:rFonts w:asciiTheme="majorEastAsia" w:eastAsiaTheme="majorEastAsia" w:hAnsiTheme="majorEastAsia" w:hint="eastAsia"/>
          <w:color w:val="000000"/>
        </w:rPr>
        <w:t>上半年</w:t>
      </w:r>
      <w:r w:rsidR="00C373A3" w:rsidRPr="00174008">
        <w:rPr>
          <w:rFonts w:asciiTheme="majorEastAsia" w:eastAsiaTheme="majorEastAsia" w:hAnsiTheme="majorEastAsia" w:hint="eastAsia"/>
          <w:color w:val="000000"/>
        </w:rPr>
        <w:t>和龙市人民法院上网数</w:t>
      </w:r>
      <w:r w:rsidR="00BD6AB5" w:rsidRPr="00174008">
        <w:rPr>
          <w:rFonts w:asciiTheme="majorEastAsia" w:eastAsiaTheme="majorEastAsia" w:hAnsiTheme="majorEastAsia" w:hint="eastAsia"/>
          <w:color w:val="000000"/>
        </w:rPr>
        <w:t>673</w:t>
      </w:r>
      <w:r w:rsidR="00C373A3" w:rsidRPr="00174008">
        <w:rPr>
          <w:rFonts w:asciiTheme="majorEastAsia" w:eastAsiaTheme="majorEastAsia" w:hAnsiTheme="majorEastAsia" w:hint="eastAsia"/>
          <w:color w:val="000000"/>
        </w:rPr>
        <w:t>件，结案数</w:t>
      </w:r>
      <w:r w:rsidR="00BD6AB5" w:rsidRPr="00174008">
        <w:rPr>
          <w:rFonts w:asciiTheme="majorEastAsia" w:eastAsiaTheme="majorEastAsia" w:hAnsiTheme="majorEastAsia" w:hint="eastAsia"/>
          <w:color w:val="000000"/>
        </w:rPr>
        <w:t>951</w:t>
      </w:r>
      <w:r w:rsidR="00C373A3" w:rsidRPr="00174008">
        <w:rPr>
          <w:rFonts w:asciiTheme="majorEastAsia" w:eastAsiaTheme="majorEastAsia" w:hAnsiTheme="majorEastAsia" w:hint="eastAsia"/>
          <w:color w:val="000000"/>
        </w:rPr>
        <w:t>件，民事调解数</w:t>
      </w:r>
      <w:r w:rsidR="00BD6AB5" w:rsidRPr="00174008">
        <w:rPr>
          <w:rFonts w:asciiTheme="majorEastAsia" w:eastAsiaTheme="majorEastAsia" w:hAnsiTheme="majorEastAsia" w:hint="eastAsia"/>
          <w:color w:val="000000"/>
        </w:rPr>
        <w:t>116</w:t>
      </w:r>
      <w:r w:rsidR="00C373A3" w:rsidRPr="00174008">
        <w:rPr>
          <w:rFonts w:asciiTheme="majorEastAsia" w:eastAsiaTheme="majorEastAsia" w:hAnsiTheme="majorEastAsia" w:hint="eastAsia"/>
          <w:color w:val="000000"/>
        </w:rPr>
        <w:t>件，上网率为</w:t>
      </w:r>
      <w:r w:rsidR="00BD6AB5" w:rsidRPr="00174008">
        <w:rPr>
          <w:rFonts w:asciiTheme="majorEastAsia" w:eastAsiaTheme="majorEastAsia" w:hAnsiTheme="majorEastAsia" w:hint="eastAsia"/>
          <w:color w:val="000000"/>
        </w:rPr>
        <w:t>70.77</w:t>
      </w:r>
      <w:r w:rsidR="00C373A3" w:rsidRPr="00174008">
        <w:rPr>
          <w:rFonts w:asciiTheme="majorEastAsia" w:eastAsiaTheme="majorEastAsia" w:hAnsiTheme="majorEastAsia" w:hint="eastAsia"/>
          <w:color w:val="000000"/>
        </w:rPr>
        <w:t>%。</w:t>
      </w:r>
    </w:p>
    <w:p w:rsidR="00060BBB" w:rsidRPr="00174008" w:rsidRDefault="00060BBB" w:rsidP="00821A47">
      <w:pPr>
        <w:snapToGrid w:val="0"/>
        <w:spacing w:line="360" w:lineRule="auto"/>
        <w:ind w:firstLineChars="200" w:firstLine="643"/>
        <w:rPr>
          <w:rFonts w:asciiTheme="majorEastAsia" w:eastAsiaTheme="majorEastAsia" w:hAnsiTheme="majorEastAsia"/>
          <w:color w:val="000000"/>
        </w:rPr>
      </w:pPr>
      <w:r w:rsidRPr="00174008">
        <w:rPr>
          <w:rFonts w:asciiTheme="majorEastAsia" w:eastAsiaTheme="majorEastAsia" w:hAnsiTheme="majorEastAsia" w:hint="eastAsia"/>
          <w:b/>
          <w:color w:val="000000"/>
        </w:rPr>
        <w:t>（</w:t>
      </w:r>
      <w:r w:rsidR="001B5811" w:rsidRPr="00174008">
        <w:rPr>
          <w:rFonts w:asciiTheme="majorEastAsia" w:eastAsiaTheme="majorEastAsia" w:hAnsiTheme="majorEastAsia" w:hint="eastAsia"/>
          <w:b/>
          <w:color w:val="000000"/>
        </w:rPr>
        <w:t>七</w:t>
      </w:r>
      <w:r w:rsidRPr="00174008">
        <w:rPr>
          <w:rFonts w:asciiTheme="majorEastAsia" w:eastAsiaTheme="majorEastAsia" w:hAnsiTheme="majorEastAsia" w:hint="eastAsia"/>
          <w:b/>
          <w:color w:val="000000"/>
        </w:rPr>
        <w:t>）已结案件归档情况</w:t>
      </w:r>
    </w:p>
    <w:p w:rsidR="00173B3D" w:rsidRPr="00174008" w:rsidRDefault="00EC03F5" w:rsidP="006443A9">
      <w:pPr>
        <w:snapToGrid w:val="0"/>
        <w:spacing w:line="360" w:lineRule="auto"/>
        <w:ind w:firstLine="645"/>
        <w:rPr>
          <w:rFonts w:asciiTheme="majorEastAsia" w:eastAsiaTheme="majorEastAsia" w:hAnsiTheme="majorEastAsia"/>
        </w:rPr>
      </w:pPr>
      <w:r w:rsidRPr="00174008">
        <w:rPr>
          <w:rFonts w:asciiTheme="majorEastAsia" w:eastAsiaTheme="majorEastAsia" w:hAnsiTheme="majorEastAsia" w:hint="eastAsia"/>
          <w:color w:val="000000"/>
        </w:rPr>
        <w:t>2017年上半年</w:t>
      </w:r>
      <w:r w:rsidRPr="00174008">
        <w:rPr>
          <w:rFonts w:asciiTheme="majorEastAsia" w:eastAsiaTheme="majorEastAsia" w:hAnsiTheme="majorEastAsia" w:hint="eastAsia"/>
        </w:rPr>
        <w:t>和龙市人民法院共审（执）结刑事、民事、行政、赔偿、执行、审查监督案件应归档的案件951件，已归档案件730件，</w:t>
      </w:r>
      <w:r w:rsidRPr="00174008">
        <w:rPr>
          <w:rFonts w:asciiTheme="majorEastAsia" w:eastAsiaTheme="majorEastAsia" w:hAnsiTheme="majorEastAsia" w:hint="eastAsia"/>
          <w:color w:val="000000"/>
        </w:rPr>
        <w:t>未归档案件221件</w:t>
      </w:r>
      <w:r w:rsidR="000C1B30" w:rsidRPr="00174008">
        <w:rPr>
          <w:rFonts w:asciiTheme="majorEastAsia" w:eastAsiaTheme="majorEastAsia" w:hAnsiTheme="majorEastAsia" w:hint="eastAsia"/>
        </w:rPr>
        <w:t>，归档率为</w:t>
      </w:r>
      <w:r w:rsidR="0004254F" w:rsidRPr="00174008">
        <w:rPr>
          <w:rFonts w:asciiTheme="majorEastAsia" w:eastAsiaTheme="majorEastAsia" w:hAnsiTheme="majorEastAsia" w:hint="eastAsia"/>
        </w:rPr>
        <w:t>76.</w:t>
      </w:r>
      <w:r w:rsidRPr="00174008">
        <w:rPr>
          <w:rFonts w:asciiTheme="majorEastAsia" w:eastAsiaTheme="majorEastAsia" w:hAnsiTheme="majorEastAsia" w:hint="eastAsia"/>
        </w:rPr>
        <w:t>77</w:t>
      </w:r>
      <w:r w:rsidR="000C1B30" w:rsidRPr="00174008">
        <w:rPr>
          <w:rFonts w:asciiTheme="majorEastAsia" w:eastAsiaTheme="majorEastAsia" w:hAnsiTheme="majorEastAsia" w:hint="eastAsia"/>
        </w:rPr>
        <w:t>%</w:t>
      </w:r>
      <w:r w:rsidR="00114048" w:rsidRPr="00174008">
        <w:rPr>
          <w:rFonts w:asciiTheme="majorEastAsia" w:eastAsiaTheme="majorEastAsia" w:hAnsiTheme="majorEastAsia" w:hint="eastAsia"/>
        </w:rPr>
        <w:t xml:space="preserve">。 </w:t>
      </w:r>
    </w:p>
    <w:p w:rsidR="0073054E" w:rsidRPr="00174008" w:rsidRDefault="0073054E" w:rsidP="00821A47">
      <w:pPr>
        <w:snapToGrid w:val="0"/>
        <w:spacing w:line="580" w:lineRule="exact"/>
        <w:ind w:firstLineChars="200" w:firstLine="643"/>
        <w:rPr>
          <w:rFonts w:asciiTheme="majorEastAsia" w:eastAsiaTheme="majorEastAsia" w:hAnsiTheme="majorEastAsia"/>
          <w:b/>
        </w:rPr>
      </w:pPr>
      <w:r w:rsidRPr="00174008">
        <w:rPr>
          <w:rFonts w:asciiTheme="majorEastAsia" w:eastAsiaTheme="majorEastAsia" w:hAnsiTheme="majorEastAsia" w:hint="eastAsia"/>
          <w:b/>
        </w:rPr>
        <w:t>三、审判管理工作中的</w:t>
      </w:r>
      <w:r w:rsidR="008007B2" w:rsidRPr="00174008">
        <w:rPr>
          <w:rFonts w:asciiTheme="majorEastAsia" w:eastAsiaTheme="majorEastAsia" w:hAnsiTheme="majorEastAsia" w:hint="eastAsia"/>
          <w:b/>
        </w:rPr>
        <w:t>主要措施</w:t>
      </w:r>
    </w:p>
    <w:p w:rsidR="00C96289" w:rsidRPr="00174008" w:rsidRDefault="0073054E" w:rsidP="00821A47">
      <w:pPr>
        <w:snapToGrid w:val="0"/>
        <w:spacing w:line="580" w:lineRule="exact"/>
        <w:ind w:firstLineChars="251" w:firstLine="806"/>
        <w:rPr>
          <w:rFonts w:asciiTheme="majorEastAsia" w:eastAsiaTheme="majorEastAsia" w:hAnsiTheme="majorEastAsia"/>
        </w:rPr>
      </w:pPr>
      <w:r w:rsidRPr="00174008">
        <w:rPr>
          <w:rFonts w:asciiTheme="majorEastAsia" w:eastAsiaTheme="majorEastAsia" w:hAnsiTheme="majorEastAsia" w:hint="eastAsia"/>
          <w:b/>
        </w:rPr>
        <w:t>（一）严格</w:t>
      </w:r>
      <w:r w:rsidR="00C96289" w:rsidRPr="00174008">
        <w:rPr>
          <w:rFonts w:asciiTheme="majorEastAsia" w:eastAsiaTheme="majorEastAsia" w:hAnsiTheme="majorEastAsia" w:hint="eastAsia"/>
          <w:b/>
        </w:rPr>
        <w:t>管理审限制度，让每一个案件做到高效审理</w:t>
      </w:r>
      <w:r w:rsidR="00821A47" w:rsidRPr="00174008">
        <w:rPr>
          <w:rFonts w:asciiTheme="majorEastAsia" w:eastAsiaTheme="majorEastAsia" w:hAnsiTheme="majorEastAsia" w:hint="eastAsia"/>
        </w:rPr>
        <w:t>。</w:t>
      </w:r>
      <w:r w:rsidR="00C96289" w:rsidRPr="00174008">
        <w:rPr>
          <w:rFonts w:asciiTheme="majorEastAsia" w:eastAsiaTheme="majorEastAsia" w:hAnsiTheme="majorEastAsia" w:hint="eastAsia"/>
        </w:rPr>
        <w:lastRenderedPageBreak/>
        <w:t>年初，和龙</w:t>
      </w:r>
      <w:r w:rsidR="00004462" w:rsidRPr="00174008">
        <w:rPr>
          <w:rFonts w:asciiTheme="majorEastAsia" w:eastAsiaTheme="majorEastAsia" w:hAnsiTheme="majorEastAsia" w:hint="eastAsia"/>
        </w:rPr>
        <w:t>市</w:t>
      </w:r>
      <w:r w:rsidR="00C96289" w:rsidRPr="00174008">
        <w:rPr>
          <w:rFonts w:asciiTheme="majorEastAsia" w:eastAsiaTheme="majorEastAsia" w:hAnsiTheme="majorEastAsia" w:hint="eastAsia"/>
        </w:rPr>
        <w:t>人民法院改革了审限签批制度，要求鉴定、公告等法律明文规定必须扣除审限的案件放权给主管院长，让主管院长把关，</w:t>
      </w:r>
      <w:r w:rsidR="00821A47" w:rsidRPr="00174008">
        <w:rPr>
          <w:rFonts w:asciiTheme="majorEastAsia" w:eastAsiaTheme="majorEastAsia" w:hAnsiTheme="majorEastAsia" w:hint="eastAsia"/>
        </w:rPr>
        <w:t>提高办案效率，</w:t>
      </w:r>
      <w:r w:rsidR="00C96289" w:rsidRPr="00174008">
        <w:rPr>
          <w:rFonts w:asciiTheme="majorEastAsia" w:eastAsiaTheme="majorEastAsia" w:hAnsiTheme="majorEastAsia" w:hint="eastAsia"/>
        </w:rPr>
        <w:t>对于中止、延长审限等不能在法定审限内结案的案件，除庭长、主管院长签批以外，还</w:t>
      </w:r>
      <w:r w:rsidR="00821A47" w:rsidRPr="00174008">
        <w:rPr>
          <w:rFonts w:asciiTheme="majorEastAsia" w:eastAsiaTheme="majorEastAsia" w:hAnsiTheme="majorEastAsia" w:hint="eastAsia"/>
        </w:rPr>
        <w:t>要求</w:t>
      </w:r>
      <w:r w:rsidR="00C96289" w:rsidRPr="00174008">
        <w:rPr>
          <w:rFonts w:asciiTheme="majorEastAsia" w:eastAsiaTheme="majorEastAsia" w:hAnsiTheme="majorEastAsia" w:hint="eastAsia"/>
        </w:rPr>
        <w:t>审管办主管院长审批，以此严格控制审限。</w:t>
      </w:r>
    </w:p>
    <w:p w:rsidR="00C96289" w:rsidRPr="00174008" w:rsidRDefault="00C96289" w:rsidP="00821A47">
      <w:pPr>
        <w:snapToGrid w:val="0"/>
        <w:spacing w:line="580" w:lineRule="exact"/>
        <w:ind w:firstLineChars="251" w:firstLine="806"/>
        <w:rPr>
          <w:rFonts w:asciiTheme="majorEastAsia" w:eastAsiaTheme="majorEastAsia" w:hAnsiTheme="majorEastAsia"/>
        </w:rPr>
      </w:pPr>
      <w:r w:rsidRPr="00174008">
        <w:rPr>
          <w:rFonts w:asciiTheme="majorEastAsia" w:eastAsiaTheme="majorEastAsia" w:hAnsiTheme="majorEastAsia" w:hint="eastAsia"/>
          <w:b/>
        </w:rPr>
        <w:t>（二）做到一案一评查，力求细致中找到案件不足。</w:t>
      </w:r>
      <w:r w:rsidRPr="00174008">
        <w:rPr>
          <w:rFonts w:asciiTheme="majorEastAsia" w:eastAsiaTheme="majorEastAsia" w:hAnsiTheme="majorEastAsia" w:hint="eastAsia"/>
        </w:rPr>
        <w:t>和龙</w:t>
      </w:r>
      <w:r w:rsidR="00004462" w:rsidRPr="00174008">
        <w:rPr>
          <w:rFonts w:asciiTheme="majorEastAsia" w:eastAsiaTheme="majorEastAsia" w:hAnsiTheme="majorEastAsia" w:hint="eastAsia"/>
        </w:rPr>
        <w:t>市人民</w:t>
      </w:r>
      <w:r w:rsidRPr="00174008">
        <w:rPr>
          <w:rFonts w:asciiTheme="majorEastAsia" w:eastAsiaTheme="majorEastAsia" w:hAnsiTheme="majorEastAsia" w:hint="eastAsia"/>
        </w:rPr>
        <w:t>法院近年来一直对卷宗进行评查，自司法改革以来，卷宗本应由主审人自己负责，但是和龙</w:t>
      </w:r>
      <w:r w:rsidR="00004462" w:rsidRPr="00174008">
        <w:rPr>
          <w:rFonts w:asciiTheme="majorEastAsia" w:eastAsiaTheme="majorEastAsia" w:hAnsiTheme="majorEastAsia" w:hint="eastAsia"/>
        </w:rPr>
        <w:t>市人民</w:t>
      </w:r>
      <w:r w:rsidRPr="00174008">
        <w:rPr>
          <w:rFonts w:asciiTheme="majorEastAsia" w:eastAsiaTheme="majorEastAsia" w:hAnsiTheme="majorEastAsia" w:hint="eastAsia"/>
        </w:rPr>
        <w:t>法院秉着对案件负责，对法官负责的态度，安排专人专门负责评查卷宗，做到一案一评查，重点从审限情况、开庭流程、送达情况等方面着手严格审查卷宗，卷宗有问题一律退还给办案人，合格的</w:t>
      </w:r>
      <w:r w:rsidR="00821A47" w:rsidRPr="00174008">
        <w:rPr>
          <w:rFonts w:asciiTheme="majorEastAsia" w:eastAsiaTheme="majorEastAsia" w:hAnsiTheme="majorEastAsia" w:hint="eastAsia"/>
        </w:rPr>
        <w:t>卷宗</w:t>
      </w:r>
      <w:r w:rsidRPr="00174008">
        <w:rPr>
          <w:rFonts w:asciiTheme="majorEastAsia" w:eastAsiaTheme="majorEastAsia" w:hAnsiTheme="majorEastAsia" w:hint="eastAsia"/>
        </w:rPr>
        <w:t>评查人才签字</w:t>
      </w:r>
      <w:r w:rsidR="00821A47" w:rsidRPr="00174008">
        <w:rPr>
          <w:rFonts w:asciiTheme="majorEastAsia" w:eastAsiaTheme="majorEastAsia" w:hAnsiTheme="majorEastAsia" w:hint="eastAsia"/>
        </w:rPr>
        <w:t>确认</w:t>
      </w:r>
      <w:r w:rsidRPr="00174008">
        <w:rPr>
          <w:rFonts w:asciiTheme="majorEastAsia" w:eastAsiaTheme="majorEastAsia" w:hAnsiTheme="majorEastAsia" w:hint="eastAsia"/>
        </w:rPr>
        <w:t>，如无评查人签字</w:t>
      </w:r>
      <w:r w:rsidR="00821A47" w:rsidRPr="00174008">
        <w:rPr>
          <w:rFonts w:asciiTheme="majorEastAsia" w:eastAsiaTheme="majorEastAsia" w:hAnsiTheme="majorEastAsia" w:hint="eastAsia"/>
        </w:rPr>
        <w:t>确认</w:t>
      </w:r>
      <w:r w:rsidRPr="00174008">
        <w:rPr>
          <w:rFonts w:asciiTheme="majorEastAsia" w:eastAsiaTheme="majorEastAsia" w:hAnsiTheme="majorEastAsia" w:hint="eastAsia"/>
        </w:rPr>
        <w:t>，档案室拒收卷宗，做到对卷宗严格把关。</w:t>
      </w:r>
    </w:p>
    <w:p w:rsidR="00C96289" w:rsidRPr="00174008" w:rsidRDefault="00C96289" w:rsidP="00F73FBF">
      <w:pPr>
        <w:snapToGrid w:val="0"/>
        <w:spacing w:line="580" w:lineRule="exact"/>
        <w:ind w:firstLineChars="251" w:firstLine="806"/>
        <w:jc w:val="center"/>
        <w:rPr>
          <w:rFonts w:asciiTheme="majorEastAsia" w:eastAsiaTheme="majorEastAsia" w:hAnsiTheme="majorEastAsia"/>
        </w:rPr>
      </w:pPr>
      <w:r w:rsidRPr="00174008">
        <w:rPr>
          <w:rFonts w:asciiTheme="majorEastAsia" w:eastAsiaTheme="majorEastAsia" w:hAnsiTheme="majorEastAsia" w:hint="eastAsia"/>
          <w:b/>
        </w:rPr>
        <w:t>（三）定期通报数据，给负责人指明方向，让法官心中有数。</w:t>
      </w:r>
      <w:r w:rsidRPr="00174008">
        <w:rPr>
          <w:rFonts w:asciiTheme="majorEastAsia" w:eastAsiaTheme="majorEastAsia" w:hAnsiTheme="majorEastAsia" w:hint="eastAsia"/>
        </w:rPr>
        <w:t>审管办坚持</w:t>
      </w:r>
      <w:r w:rsidR="00F73FBF" w:rsidRPr="00174008">
        <w:rPr>
          <w:rFonts w:asciiTheme="majorEastAsia" w:eastAsiaTheme="majorEastAsia" w:hAnsiTheme="majorEastAsia" w:hint="eastAsia"/>
        </w:rPr>
        <w:t>每周一</w:t>
      </w:r>
      <w:r w:rsidR="001F6E85" w:rsidRPr="00174008">
        <w:rPr>
          <w:rFonts w:asciiTheme="majorEastAsia" w:eastAsiaTheme="majorEastAsia" w:hAnsiTheme="majorEastAsia" w:hint="eastAsia"/>
        </w:rPr>
        <w:t>全院通告</w:t>
      </w:r>
      <w:r w:rsidRPr="00174008">
        <w:rPr>
          <w:rFonts w:asciiTheme="majorEastAsia" w:eastAsiaTheme="majorEastAsia" w:hAnsiTheme="majorEastAsia" w:hint="eastAsia"/>
        </w:rPr>
        <w:t>结案率、归档数、发改案件统计、超过1年半以上未结案件、超过1年以上未结案件</w:t>
      </w:r>
      <w:r w:rsidR="001F6E85" w:rsidRPr="00174008">
        <w:rPr>
          <w:rFonts w:asciiTheme="majorEastAsia" w:eastAsiaTheme="majorEastAsia" w:hAnsiTheme="majorEastAsia" w:hint="eastAsia"/>
        </w:rPr>
        <w:t>等情况，让法官、负责人、主管院长掌握本部门不足之处，及时</w:t>
      </w:r>
      <w:r w:rsidR="00D95A36" w:rsidRPr="00174008">
        <w:rPr>
          <w:rFonts w:asciiTheme="majorEastAsia" w:eastAsiaTheme="majorEastAsia" w:hAnsiTheme="majorEastAsia" w:hint="eastAsia"/>
        </w:rPr>
        <w:t>更正与补强</w:t>
      </w:r>
      <w:r w:rsidR="001F6E85" w:rsidRPr="00174008">
        <w:rPr>
          <w:rFonts w:asciiTheme="majorEastAsia" w:eastAsiaTheme="majorEastAsia" w:hAnsiTheme="majorEastAsia" w:hint="eastAsia"/>
        </w:rPr>
        <w:t>，使得和龙</w:t>
      </w:r>
      <w:r w:rsidR="005F1DC2" w:rsidRPr="00174008">
        <w:rPr>
          <w:rFonts w:asciiTheme="majorEastAsia" w:eastAsiaTheme="majorEastAsia" w:hAnsiTheme="majorEastAsia" w:hint="eastAsia"/>
        </w:rPr>
        <w:t>市人民</w:t>
      </w:r>
      <w:r w:rsidR="001F6E85" w:rsidRPr="00174008">
        <w:rPr>
          <w:rFonts w:asciiTheme="majorEastAsia" w:eastAsiaTheme="majorEastAsia" w:hAnsiTheme="majorEastAsia" w:hint="eastAsia"/>
        </w:rPr>
        <w:t>法院各项数据保持平稳态势。</w:t>
      </w:r>
    </w:p>
    <w:p w:rsidR="00C96289" w:rsidRPr="00174008" w:rsidRDefault="001F6E85" w:rsidP="00821A47">
      <w:pPr>
        <w:snapToGrid w:val="0"/>
        <w:spacing w:line="580" w:lineRule="exact"/>
        <w:ind w:firstLineChars="251" w:firstLine="806"/>
        <w:rPr>
          <w:rFonts w:asciiTheme="majorEastAsia" w:eastAsiaTheme="majorEastAsia" w:hAnsiTheme="majorEastAsia"/>
        </w:rPr>
      </w:pPr>
      <w:r w:rsidRPr="00174008">
        <w:rPr>
          <w:rFonts w:asciiTheme="majorEastAsia" w:eastAsiaTheme="majorEastAsia" w:hAnsiTheme="majorEastAsia" w:hint="eastAsia"/>
          <w:b/>
        </w:rPr>
        <w:t>（四）多项举措做好裁判文书上网工作，保证民族语言裁判文书上网质量</w:t>
      </w:r>
      <w:r w:rsidRPr="00174008">
        <w:rPr>
          <w:rFonts w:asciiTheme="majorEastAsia" w:eastAsiaTheme="majorEastAsia" w:hAnsiTheme="majorEastAsia" w:hint="eastAsia"/>
        </w:rPr>
        <w:t>。2014年1月1日起开始裁判文书上网工作以来，和龙</w:t>
      </w:r>
      <w:r w:rsidR="00004462" w:rsidRPr="00174008">
        <w:rPr>
          <w:rFonts w:asciiTheme="majorEastAsia" w:eastAsiaTheme="majorEastAsia" w:hAnsiTheme="majorEastAsia" w:hint="eastAsia"/>
        </w:rPr>
        <w:t>市人民</w:t>
      </w:r>
      <w:r w:rsidRPr="00174008">
        <w:rPr>
          <w:rFonts w:asciiTheme="majorEastAsia" w:eastAsiaTheme="majorEastAsia" w:hAnsiTheme="majorEastAsia" w:hint="eastAsia"/>
        </w:rPr>
        <w:t>法院安排专人负责此项工作，严格把关办案人从办案系统中公开裁判文书，保证吉林省司法公开网的裁判文书公开工作以外，专人专门负责将裁判文书上传至中国裁判文</w:t>
      </w:r>
      <w:r w:rsidRPr="00174008">
        <w:rPr>
          <w:rFonts w:asciiTheme="majorEastAsia" w:eastAsiaTheme="majorEastAsia" w:hAnsiTheme="majorEastAsia" w:hint="eastAsia"/>
        </w:rPr>
        <w:lastRenderedPageBreak/>
        <w:t>书网，保证了吉林省司法公开网与中国裁判文书网的裁判文书的同步性，并且要求不公开裁判文书案件每件填写不公开裁判文书审批表，由庭长、主管院长审批以后方能不公开裁判文书，和龙</w:t>
      </w:r>
      <w:r w:rsidR="00004462" w:rsidRPr="00174008">
        <w:rPr>
          <w:rFonts w:asciiTheme="majorEastAsia" w:eastAsiaTheme="majorEastAsia" w:hAnsiTheme="majorEastAsia" w:hint="eastAsia"/>
        </w:rPr>
        <w:t>市人民</w:t>
      </w:r>
      <w:r w:rsidRPr="00174008">
        <w:rPr>
          <w:rFonts w:asciiTheme="majorEastAsia" w:eastAsiaTheme="majorEastAsia" w:hAnsiTheme="majorEastAsia" w:hint="eastAsia"/>
        </w:rPr>
        <w:t xml:space="preserve">法院也通过了双百要求。 </w:t>
      </w:r>
      <w:r w:rsidR="00D95A36" w:rsidRPr="00174008">
        <w:rPr>
          <w:rFonts w:asciiTheme="majorEastAsia" w:eastAsiaTheme="majorEastAsia" w:hAnsiTheme="majorEastAsia" w:hint="eastAsia"/>
        </w:rPr>
        <w:t>并且要求有少数民族参与的案件尽量</w:t>
      </w:r>
      <w:r w:rsidR="00004462" w:rsidRPr="00174008">
        <w:rPr>
          <w:rFonts w:asciiTheme="majorEastAsia" w:eastAsiaTheme="majorEastAsia" w:hAnsiTheme="majorEastAsia" w:hint="eastAsia"/>
        </w:rPr>
        <w:t>使用</w:t>
      </w:r>
      <w:r w:rsidR="00D95A36" w:rsidRPr="00174008">
        <w:rPr>
          <w:rFonts w:asciiTheme="majorEastAsia" w:eastAsiaTheme="majorEastAsia" w:hAnsiTheme="majorEastAsia" w:hint="eastAsia"/>
        </w:rPr>
        <w:t>本民族语言，安排少数民族法官及合议庭成员审理案件，方便当事人的同时，保证和龙</w:t>
      </w:r>
      <w:r w:rsidR="005F1DC2" w:rsidRPr="00174008">
        <w:rPr>
          <w:rFonts w:asciiTheme="majorEastAsia" w:eastAsiaTheme="majorEastAsia" w:hAnsiTheme="majorEastAsia" w:hint="eastAsia"/>
        </w:rPr>
        <w:t>市人民</w:t>
      </w:r>
      <w:r w:rsidR="00D95A36" w:rsidRPr="00174008">
        <w:rPr>
          <w:rFonts w:asciiTheme="majorEastAsia" w:eastAsiaTheme="majorEastAsia" w:hAnsiTheme="majorEastAsia" w:hint="eastAsia"/>
        </w:rPr>
        <w:t>法院少数民族裁判文书质量与数量。</w:t>
      </w:r>
    </w:p>
    <w:p w:rsidR="00FE68E0" w:rsidRPr="00174008" w:rsidRDefault="008007B2" w:rsidP="001B5811">
      <w:pPr>
        <w:snapToGrid w:val="0"/>
        <w:spacing w:line="580" w:lineRule="exact"/>
        <w:ind w:firstLineChars="196" w:firstLine="630"/>
        <w:rPr>
          <w:rFonts w:asciiTheme="majorEastAsia" w:eastAsiaTheme="majorEastAsia" w:hAnsiTheme="majorEastAsia"/>
          <w:b/>
        </w:rPr>
      </w:pPr>
      <w:r w:rsidRPr="00174008">
        <w:rPr>
          <w:rFonts w:asciiTheme="majorEastAsia" w:eastAsiaTheme="majorEastAsia" w:hAnsiTheme="majorEastAsia" w:hint="eastAsia"/>
          <w:b/>
        </w:rPr>
        <w:t>四、</w:t>
      </w:r>
      <w:r w:rsidR="00FE68E0" w:rsidRPr="00174008">
        <w:rPr>
          <w:rFonts w:asciiTheme="majorEastAsia" w:eastAsiaTheme="majorEastAsia" w:hAnsiTheme="majorEastAsia" w:hint="eastAsia"/>
          <w:b/>
        </w:rPr>
        <w:t>审判工作中呈现的突出特点以及存在的问题</w:t>
      </w:r>
    </w:p>
    <w:p w:rsidR="00FE68E0" w:rsidRPr="00174008" w:rsidRDefault="00FE68E0" w:rsidP="00821A47">
      <w:pPr>
        <w:snapToGrid w:val="0"/>
        <w:spacing w:line="580" w:lineRule="exact"/>
        <w:ind w:firstLine="588"/>
        <w:jc w:val="left"/>
        <w:rPr>
          <w:rFonts w:asciiTheme="majorEastAsia" w:eastAsiaTheme="majorEastAsia" w:hAnsiTheme="majorEastAsia" w:cs="宋体"/>
          <w:b/>
          <w:color w:val="000000"/>
        </w:rPr>
      </w:pPr>
      <w:r w:rsidRPr="00174008">
        <w:rPr>
          <w:rFonts w:asciiTheme="majorEastAsia" w:eastAsiaTheme="majorEastAsia" w:hAnsiTheme="majorEastAsia" w:cs="宋体" w:hint="eastAsia"/>
          <w:b/>
          <w:color w:val="000000"/>
        </w:rPr>
        <w:t>一是审判效率</w:t>
      </w:r>
      <w:r w:rsidR="00F34434" w:rsidRPr="00174008">
        <w:rPr>
          <w:rFonts w:asciiTheme="majorEastAsia" w:eastAsiaTheme="majorEastAsia" w:hAnsiTheme="majorEastAsia" w:cs="宋体" w:hint="eastAsia"/>
          <w:b/>
          <w:color w:val="000000"/>
        </w:rPr>
        <w:t>明显</w:t>
      </w:r>
      <w:r w:rsidR="00771484" w:rsidRPr="00174008">
        <w:rPr>
          <w:rFonts w:asciiTheme="majorEastAsia" w:eastAsiaTheme="majorEastAsia" w:hAnsiTheme="majorEastAsia" w:cs="宋体" w:hint="eastAsia"/>
          <w:b/>
          <w:color w:val="000000"/>
        </w:rPr>
        <w:t>下降</w:t>
      </w:r>
      <w:r w:rsidRPr="00174008">
        <w:rPr>
          <w:rFonts w:asciiTheme="majorEastAsia" w:eastAsiaTheme="majorEastAsia" w:hAnsiTheme="majorEastAsia" w:cs="宋体" w:hint="eastAsia"/>
          <w:b/>
          <w:color w:val="000000"/>
        </w:rPr>
        <w:t>，个别指标同比有所波动。</w:t>
      </w:r>
    </w:p>
    <w:p w:rsidR="00F36097" w:rsidRPr="00174008" w:rsidRDefault="00636A9E" w:rsidP="00821A47">
      <w:pPr>
        <w:snapToGrid w:val="0"/>
        <w:spacing w:line="580" w:lineRule="exact"/>
        <w:ind w:firstLine="588"/>
        <w:jc w:val="left"/>
        <w:rPr>
          <w:rFonts w:asciiTheme="majorEastAsia" w:eastAsiaTheme="majorEastAsia" w:hAnsiTheme="majorEastAsia"/>
        </w:rPr>
      </w:pPr>
      <w:r w:rsidRPr="00174008">
        <w:rPr>
          <w:rFonts w:asciiTheme="majorEastAsia" w:eastAsiaTheme="majorEastAsia" w:hAnsiTheme="majorEastAsia" w:hint="eastAsia"/>
        </w:rPr>
        <w:t>2017年</w:t>
      </w:r>
      <w:r w:rsidR="003B6014" w:rsidRPr="00174008">
        <w:rPr>
          <w:rFonts w:asciiTheme="majorEastAsia" w:eastAsiaTheme="majorEastAsia" w:hAnsiTheme="majorEastAsia" w:hint="eastAsia"/>
        </w:rPr>
        <w:t>上半年</w:t>
      </w:r>
      <w:r w:rsidR="00F34434" w:rsidRPr="00174008">
        <w:rPr>
          <w:rFonts w:asciiTheme="majorEastAsia" w:eastAsiaTheme="majorEastAsia" w:hAnsiTheme="majorEastAsia" w:hint="eastAsia"/>
        </w:rPr>
        <w:t>和龙</w:t>
      </w:r>
      <w:r w:rsidR="005F1DC2" w:rsidRPr="00174008">
        <w:rPr>
          <w:rFonts w:asciiTheme="majorEastAsia" w:eastAsiaTheme="majorEastAsia" w:hAnsiTheme="majorEastAsia" w:hint="eastAsia"/>
        </w:rPr>
        <w:t>市人民</w:t>
      </w:r>
      <w:r w:rsidR="00F34434" w:rsidRPr="00174008">
        <w:rPr>
          <w:rFonts w:asciiTheme="majorEastAsia" w:eastAsiaTheme="majorEastAsia" w:hAnsiTheme="majorEastAsia" w:hint="eastAsia"/>
        </w:rPr>
        <w:t>法院</w:t>
      </w:r>
      <w:r w:rsidR="00FE68E0" w:rsidRPr="00174008">
        <w:rPr>
          <w:rFonts w:asciiTheme="majorEastAsia" w:eastAsiaTheme="majorEastAsia" w:hAnsiTheme="majorEastAsia" w:hint="eastAsia"/>
        </w:rPr>
        <w:t>已结案件数</w:t>
      </w:r>
      <w:r w:rsidR="00F36097" w:rsidRPr="00174008">
        <w:rPr>
          <w:rFonts w:asciiTheme="majorEastAsia" w:eastAsiaTheme="majorEastAsia" w:hAnsiTheme="majorEastAsia" w:hint="eastAsia"/>
        </w:rPr>
        <w:t>、人均结案数</w:t>
      </w:r>
      <w:r w:rsidR="00FE68E0" w:rsidRPr="00174008">
        <w:rPr>
          <w:rFonts w:asciiTheme="majorEastAsia" w:eastAsiaTheme="majorEastAsia" w:hAnsiTheme="majorEastAsia" w:hint="eastAsia"/>
        </w:rPr>
        <w:t>和结案率均比去年同期</w:t>
      </w:r>
      <w:r w:rsidR="00771484" w:rsidRPr="00174008">
        <w:rPr>
          <w:rFonts w:asciiTheme="majorEastAsia" w:eastAsiaTheme="majorEastAsia" w:hAnsiTheme="majorEastAsia" w:hint="eastAsia"/>
        </w:rPr>
        <w:t>有明显</w:t>
      </w:r>
      <w:r w:rsidR="00544510" w:rsidRPr="00174008">
        <w:rPr>
          <w:rFonts w:asciiTheme="majorEastAsia" w:eastAsiaTheme="majorEastAsia" w:hAnsiTheme="majorEastAsia" w:hint="eastAsia"/>
        </w:rPr>
        <w:t>上升</w:t>
      </w:r>
      <w:r w:rsidR="00FE68E0" w:rsidRPr="00174008">
        <w:rPr>
          <w:rFonts w:asciiTheme="majorEastAsia" w:eastAsiaTheme="majorEastAsia" w:hAnsiTheme="majorEastAsia" w:hint="eastAsia"/>
        </w:rPr>
        <w:t>，</w:t>
      </w:r>
      <w:r w:rsidR="00F36097" w:rsidRPr="00174008">
        <w:rPr>
          <w:rFonts w:asciiTheme="majorEastAsia" w:eastAsiaTheme="majorEastAsia" w:hAnsiTheme="majorEastAsia" w:hint="eastAsia"/>
        </w:rPr>
        <w:t>已结</w:t>
      </w:r>
      <w:r w:rsidR="00F34434" w:rsidRPr="00174008">
        <w:rPr>
          <w:rFonts w:asciiTheme="majorEastAsia" w:eastAsiaTheme="majorEastAsia" w:hAnsiTheme="majorEastAsia" w:hint="eastAsia"/>
        </w:rPr>
        <w:t>案</w:t>
      </w:r>
      <w:r w:rsidR="00F36097" w:rsidRPr="00174008">
        <w:rPr>
          <w:rFonts w:asciiTheme="majorEastAsia" w:eastAsiaTheme="majorEastAsia" w:hAnsiTheme="majorEastAsia" w:hint="eastAsia"/>
        </w:rPr>
        <w:t>件</w:t>
      </w:r>
      <w:r w:rsidR="00F34434" w:rsidRPr="00174008">
        <w:rPr>
          <w:rFonts w:asciiTheme="majorEastAsia" w:eastAsiaTheme="majorEastAsia" w:hAnsiTheme="majorEastAsia" w:hint="eastAsia"/>
        </w:rPr>
        <w:t>数</w:t>
      </w:r>
      <w:r w:rsidR="00A865CC" w:rsidRPr="00174008">
        <w:rPr>
          <w:rFonts w:asciiTheme="majorEastAsia" w:eastAsiaTheme="majorEastAsia" w:hAnsiTheme="majorEastAsia" w:hint="eastAsia"/>
        </w:rPr>
        <w:t>951</w:t>
      </w:r>
      <w:r w:rsidR="00F36097" w:rsidRPr="00174008">
        <w:rPr>
          <w:rFonts w:asciiTheme="majorEastAsia" w:eastAsiaTheme="majorEastAsia" w:hAnsiTheme="majorEastAsia" w:hint="eastAsia"/>
        </w:rPr>
        <w:t>件，同比</w:t>
      </w:r>
      <w:r w:rsidR="00686542" w:rsidRPr="00174008">
        <w:rPr>
          <w:rFonts w:asciiTheme="majorEastAsia" w:eastAsiaTheme="majorEastAsia" w:hAnsiTheme="majorEastAsia" w:hint="eastAsia"/>
        </w:rPr>
        <w:t>上升29.21</w:t>
      </w:r>
      <w:r w:rsidR="00F34434" w:rsidRPr="00174008">
        <w:rPr>
          <w:rFonts w:asciiTheme="majorEastAsia" w:eastAsiaTheme="majorEastAsia" w:hAnsiTheme="majorEastAsia" w:hint="eastAsia"/>
        </w:rPr>
        <w:t>%，</w:t>
      </w:r>
      <w:r w:rsidR="00F36097" w:rsidRPr="00174008">
        <w:rPr>
          <w:rFonts w:asciiTheme="majorEastAsia" w:eastAsiaTheme="majorEastAsia" w:hAnsiTheme="majorEastAsia" w:hint="eastAsia"/>
        </w:rPr>
        <w:t>人均结案数为</w:t>
      </w:r>
      <w:r w:rsidR="00221AAF" w:rsidRPr="00174008">
        <w:rPr>
          <w:rFonts w:asciiTheme="majorEastAsia" w:eastAsiaTheme="majorEastAsia" w:hAnsiTheme="majorEastAsia" w:hint="eastAsia"/>
        </w:rPr>
        <w:t>38.04</w:t>
      </w:r>
      <w:r w:rsidR="00F36097" w:rsidRPr="00174008">
        <w:rPr>
          <w:rFonts w:asciiTheme="majorEastAsia" w:eastAsiaTheme="majorEastAsia" w:hAnsiTheme="majorEastAsia" w:hint="eastAsia"/>
        </w:rPr>
        <w:t>件，同比</w:t>
      </w:r>
      <w:r w:rsidR="00F761A9" w:rsidRPr="00174008">
        <w:rPr>
          <w:rFonts w:asciiTheme="majorEastAsia" w:eastAsiaTheme="majorEastAsia" w:hAnsiTheme="majorEastAsia" w:hint="eastAsia"/>
        </w:rPr>
        <w:t>上升44.69</w:t>
      </w:r>
      <w:r w:rsidR="00F36097" w:rsidRPr="00174008">
        <w:rPr>
          <w:rFonts w:asciiTheme="majorEastAsia" w:eastAsiaTheme="majorEastAsia" w:hAnsiTheme="majorEastAsia" w:hint="eastAsia"/>
        </w:rPr>
        <w:t>%，结案率</w:t>
      </w:r>
      <w:r w:rsidR="00F761A9" w:rsidRPr="00174008">
        <w:rPr>
          <w:rFonts w:asciiTheme="majorEastAsia" w:eastAsiaTheme="majorEastAsia" w:hAnsiTheme="majorEastAsia" w:hint="eastAsia"/>
        </w:rPr>
        <w:t>65.77</w:t>
      </w:r>
      <w:r w:rsidR="00F36097" w:rsidRPr="00174008">
        <w:rPr>
          <w:rFonts w:asciiTheme="majorEastAsia" w:eastAsiaTheme="majorEastAsia" w:hAnsiTheme="majorEastAsia" w:hint="eastAsia"/>
        </w:rPr>
        <w:t>%</w:t>
      </w:r>
      <w:r w:rsidR="00004462" w:rsidRPr="00174008">
        <w:rPr>
          <w:rFonts w:asciiTheme="majorEastAsia" w:eastAsiaTheme="majorEastAsia" w:hAnsiTheme="majorEastAsia" w:hint="eastAsia"/>
        </w:rPr>
        <w:t>，</w:t>
      </w:r>
      <w:r w:rsidR="00F36097" w:rsidRPr="00174008">
        <w:rPr>
          <w:rFonts w:asciiTheme="majorEastAsia" w:eastAsiaTheme="majorEastAsia" w:hAnsiTheme="majorEastAsia" w:hint="eastAsia"/>
        </w:rPr>
        <w:t>同比</w:t>
      </w:r>
      <w:r w:rsidR="00F761A9" w:rsidRPr="00174008">
        <w:rPr>
          <w:rFonts w:asciiTheme="majorEastAsia" w:eastAsiaTheme="majorEastAsia" w:hAnsiTheme="majorEastAsia" w:hint="eastAsia"/>
        </w:rPr>
        <w:t>上升5.49</w:t>
      </w:r>
      <w:r w:rsidR="00F34434" w:rsidRPr="00174008">
        <w:rPr>
          <w:rFonts w:asciiTheme="majorEastAsia" w:eastAsiaTheme="majorEastAsia" w:hAnsiTheme="majorEastAsia" w:hint="eastAsia"/>
        </w:rPr>
        <w:t>个百分点</w:t>
      </w:r>
      <w:r w:rsidR="00F36097" w:rsidRPr="00174008">
        <w:rPr>
          <w:rFonts w:asciiTheme="majorEastAsia" w:eastAsiaTheme="majorEastAsia" w:hAnsiTheme="majorEastAsia" w:hint="eastAsia"/>
        </w:rPr>
        <w:t>。</w:t>
      </w:r>
      <w:r w:rsidR="00FE68E0" w:rsidRPr="00174008">
        <w:rPr>
          <w:rFonts w:asciiTheme="majorEastAsia" w:eastAsiaTheme="majorEastAsia" w:hAnsiTheme="majorEastAsia" w:hint="eastAsia"/>
        </w:rPr>
        <w:t>个别指标同比有所波动，</w:t>
      </w:r>
      <w:r w:rsidR="0075168E" w:rsidRPr="00174008">
        <w:rPr>
          <w:rFonts w:asciiTheme="majorEastAsia" w:eastAsiaTheme="majorEastAsia" w:hAnsiTheme="majorEastAsia" w:hint="eastAsia"/>
        </w:rPr>
        <w:t>长期未结案件</w:t>
      </w:r>
      <w:r w:rsidR="006060C6" w:rsidRPr="00174008">
        <w:rPr>
          <w:rFonts w:asciiTheme="majorEastAsia" w:eastAsiaTheme="majorEastAsia" w:hAnsiTheme="majorEastAsia" w:hint="eastAsia"/>
        </w:rPr>
        <w:t>0</w:t>
      </w:r>
      <w:r w:rsidR="0075168E" w:rsidRPr="00174008">
        <w:rPr>
          <w:rFonts w:asciiTheme="majorEastAsia" w:eastAsiaTheme="majorEastAsia" w:hAnsiTheme="majorEastAsia" w:hint="eastAsia"/>
        </w:rPr>
        <w:t>件，</w:t>
      </w:r>
      <w:r w:rsidR="00FE68E0" w:rsidRPr="00174008">
        <w:rPr>
          <w:rFonts w:asciiTheme="majorEastAsia" w:eastAsiaTheme="majorEastAsia" w:hAnsiTheme="majorEastAsia" w:hint="eastAsia"/>
        </w:rPr>
        <w:t>长期未结率为</w:t>
      </w:r>
      <w:r w:rsidR="006060C6" w:rsidRPr="00174008">
        <w:rPr>
          <w:rFonts w:asciiTheme="majorEastAsia" w:eastAsiaTheme="majorEastAsia" w:hAnsiTheme="majorEastAsia" w:hint="eastAsia"/>
        </w:rPr>
        <w:t>0</w:t>
      </w:r>
      <w:r w:rsidR="00FE68E0" w:rsidRPr="00174008">
        <w:rPr>
          <w:rFonts w:asciiTheme="majorEastAsia" w:eastAsiaTheme="majorEastAsia" w:hAnsiTheme="majorEastAsia" w:hint="eastAsia"/>
        </w:rPr>
        <w:t>%</w:t>
      </w:r>
      <w:r w:rsidR="00F36097" w:rsidRPr="00174008">
        <w:rPr>
          <w:rFonts w:asciiTheme="majorEastAsia" w:eastAsiaTheme="majorEastAsia" w:hAnsiTheme="majorEastAsia" w:hint="eastAsia"/>
        </w:rPr>
        <w:t>；</w:t>
      </w:r>
      <w:r w:rsidR="00FE68E0" w:rsidRPr="00174008">
        <w:rPr>
          <w:rFonts w:asciiTheme="majorEastAsia" w:eastAsiaTheme="majorEastAsia" w:hAnsiTheme="majorEastAsia" w:hint="eastAsia"/>
        </w:rPr>
        <w:t>四类案件未结指数</w:t>
      </w:r>
      <w:r w:rsidR="00B15C1E" w:rsidRPr="00174008">
        <w:rPr>
          <w:rFonts w:asciiTheme="majorEastAsia" w:eastAsiaTheme="majorEastAsia" w:hAnsiTheme="majorEastAsia" w:hint="eastAsia"/>
        </w:rPr>
        <w:t>0.</w:t>
      </w:r>
      <w:r w:rsidR="002A69CD" w:rsidRPr="00174008">
        <w:rPr>
          <w:rFonts w:asciiTheme="majorEastAsia" w:eastAsiaTheme="majorEastAsia" w:hAnsiTheme="majorEastAsia" w:hint="eastAsia"/>
        </w:rPr>
        <w:t>32</w:t>
      </w:r>
      <w:r w:rsidR="00F36097" w:rsidRPr="00174008">
        <w:rPr>
          <w:rFonts w:asciiTheme="majorEastAsia" w:eastAsiaTheme="majorEastAsia" w:hAnsiTheme="majorEastAsia" w:hint="eastAsia"/>
        </w:rPr>
        <w:t>同</w:t>
      </w:r>
      <w:r w:rsidR="00B15C1E" w:rsidRPr="00174008">
        <w:rPr>
          <w:rFonts w:asciiTheme="majorEastAsia" w:eastAsiaTheme="majorEastAsia" w:hAnsiTheme="majorEastAsia" w:hint="eastAsia"/>
        </w:rPr>
        <w:t>比下降</w:t>
      </w:r>
      <w:r w:rsidR="002A5367" w:rsidRPr="00174008">
        <w:rPr>
          <w:rFonts w:asciiTheme="majorEastAsia" w:eastAsiaTheme="majorEastAsia" w:hAnsiTheme="majorEastAsia" w:hint="eastAsia"/>
        </w:rPr>
        <w:t>0.</w:t>
      </w:r>
      <w:r w:rsidR="006D4EF5" w:rsidRPr="00174008">
        <w:rPr>
          <w:rFonts w:asciiTheme="majorEastAsia" w:eastAsiaTheme="majorEastAsia" w:hAnsiTheme="majorEastAsia" w:hint="eastAsia"/>
        </w:rPr>
        <w:t>01</w:t>
      </w:r>
      <w:r w:rsidR="002A5367" w:rsidRPr="00174008">
        <w:rPr>
          <w:rFonts w:asciiTheme="majorEastAsia" w:eastAsiaTheme="majorEastAsia" w:hAnsiTheme="majorEastAsia" w:hint="eastAsia"/>
        </w:rPr>
        <w:t>；</w:t>
      </w:r>
      <w:r w:rsidR="00284E77" w:rsidRPr="00174008">
        <w:rPr>
          <w:rFonts w:asciiTheme="majorEastAsia" w:eastAsiaTheme="majorEastAsia" w:hAnsiTheme="majorEastAsia" w:hint="eastAsia"/>
        </w:rPr>
        <w:t>超期结案</w:t>
      </w:r>
      <w:r w:rsidR="002A5367" w:rsidRPr="00174008">
        <w:rPr>
          <w:rFonts w:asciiTheme="majorEastAsia" w:eastAsiaTheme="majorEastAsia" w:hAnsiTheme="majorEastAsia" w:hint="eastAsia"/>
        </w:rPr>
        <w:t>案件1件，超期结案率0.11，</w:t>
      </w:r>
      <w:r w:rsidR="00284E77" w:rsidRPr="00174008">
        <w:rPr>
          <w:rFonts w:asciiTheme="majorEastAsia" w:eastAsiaTheme="majorEastAsia" w:hAnsiTheme="majorEastAsia" w:hint="eastAsia"/>
        </w:rPr>
        <w:t>延长审限未结、超期未结案件</w:t>
      </w:r>
      <w:r w:rsidR="00352350" w:rsidRPr="00174008">
        <w:rPr>
          <w:rFonts w:asciiTheme="majorEastAsia" w:eastAsiaTheme="majorEastAsia" w:hAnsiTheme="majorEastAsia" w:hint="eastAsia"/>
        </w:rPr>
        <w:t>为零</w:t>
      </w:r>
      <w:r w:rsidR="00284E77" w:rsidRPr="00174008">
        <w:rPr>
          <w:rFonts w:asciiTheme="majorEastAsia" w:eastAsiaTheme="majorEastAsia" w:hAnsiTheme="majorEastAsia" w:hint="eastAsia"/>
        </w:rPr>
        <w:t>。</w:t>
      </w:r>
    </w:p>
    <w:p w:rsidR="00FE68E0" w:rsidRPr="00174008" w:rsidRDefault="00004462" w:rsidP="00821A47">
      <w:pPr>
        <w:snapToGrid w:val="0"/>
        <w:spacing w:line="580" w:lineRule="exact"/>
        <w:ind w:firstLine="588"/>
        <w:jc w:val="left"/>
        <w:rPr>
          <w:rFonts w:asciiTheme="majorEastAsia" w:eastAsiaTheme="majorEastAsia" w:hAnsiTheme="majorEastAsia" w:cs="宋体"/>
          <w:b/>
          <w:color w:val="000000"/>
        </w:rPr>
      </w:pPr>
      <w:r w:rsidRPr="00174008">
        <w:rPr>
          <w:rFonts w:asciiTheme="majorEastAsia" w:eastAsiaTheme="majorEastAsia" w:hAnsiTheme="majorEastAsia" w:cs="宋体" w:hint="eastAsia"/>
          <w:b/>
          <w:color w:val="000000"/>
        </w:rPr>
        <w:t>二是审判公正、效果方面</w:t>
      </w:r>
      <w:r w:rsidR="00736C39" w:rsidRPr="00174008">
        <w:rPr>
          <w:rFonts w:asciiTheme="majorEastAsia" w:eastAsiaTheme="majorEastAsia" w:hAnsiTheme="majorEastAsia" w:cs="宋体" w:hint="eastAsia"/>
          <w:b/>
          <w:color w:val="000000"/>
        </w:rPr>
        <w:t>保持较平稳水平</w:t>
      </w:r>
      <w:r w:rsidR="00FE68E0" w:rsidRPr="00174008">
        <w:rPr>
          <w:rFonts w:asciiTheme="majorEastAsia" w:eastAsiaTheme="majorEastAsia" w:hAnsiTheme="majorEastAsia" w:cs="宋体" w:hint="eastAsia"/>
          <w:b/>
          <w:color w:val="000000"/>
        </w:rPr>
        <w:t>。</w:t>
      </w:r>
    </w:p>
    <w:p w:rsidR="007A1A73" w:rsidRPr="00174008" w:rsidRDefault="00636A9E" w:rsidP="00F130AA">
      <w:pPr>
        <w:snapToGrid w:val="0"/>
        <w:spacing w:line="580" w:lineRule="exact"/>
        <w:ind w:firstLineChars="200" w:firstLine="640"/>
        <w:rPr>
          <w:rFonts w:asciiTheme="majorEastAsia" w:eastAsiaTheme="majorEastAsia" w:hAnsiTheme="majorEastAsia"/>
        </w:rPr>
      </w:pPr>
      <w:r w:rsidRPr="00174008">
        <w:rPr>
          <w:rFonts w:asciiTheme="majorEastAsia" w:eastAsiaTheme="majorEastAsia" w:hAnsiTheme="majorEastAsia" w:hint="eastAsia"/>
        </w:rPr>
        <w:t>2017年</w:t>
      </w:r>
      <w:r w:rsidR="003B6014" w:rsidRPr="00174008">
        <w:rPr>
          <w:rFonts w:asciiTheme="majorEastAsia" w:eastAsiaTheme="majorEastAsia" w:hAnsiTheme="majorEastAsia" w:hint="eastAsia"/>
        </w:rPr>
        <w:t>上半年</w:t>
      </w:r>
      <w:r w:rsidR="00FE68E0" w:rsidRPr="00174008">
        <w:rPr>
          <w:rFonts w:asciiTheme="majorEastAsia" w:eastAsiaTheme="majorEastAsia" w:hAnsiTheme="majorEastAsia" w:hint="eastAsia"/>
        </w:rPr>
        <w:t>和龙市</w:t>
      </w:r>
      <w:r w:rsidR="005F1DC2" w:rsidRPr="00174008">
        <w:rPr>
          <w:rFonts w:asciiTheme="majorEastAsia" w:eastAsiaTheme="majorEastAsia" w:hAnsiTheme="majorEastAsia" w:hint="eastAsia"/>
        </w:rPr>
        <w:t>人民</w:t>
      </w:r>
      <w:r w:rsidR="00FE68E0" w:rsidRPr="00174008">
        <w:rPr>
          <w:rFonts w:asciiTheme="majorEastAsia" w:eastAsiaTheme="majorEastAsia" w:hAnsiTheme="majorEastAsia" w:hint="eastAsia"/>
        </w:rPr>
        <w:t>法院一审判决案件被改判发回重审率为</w:t>
      </w:r>
      <w:r w:rsidR="004E76A6" w:rsidRPr="00174008">
        <w:rPr>
          <w:rFonts w:asciiTheme="majorEastAsia" w:eastAsiaTheme="majorEastAsia" w:hAnsiTheme="majorEastAsia" w:hint="eastAsia"/>
        </w:rPr>
        <w:t>2.57</w:t>
      </w:r>
      <w:r w:rsidR="00FE68E0" w:rsidRPr="00174008">
        <w:rPr>
          <w:rFonts w:asciiTheme="majorEastAsia" w:eastAsiaTheme="majorEastAsia" w:hAnsiTheme="majorEastAsia" w:hint="eastAsia"/>
        </w:rPr>
        <w:t>%，同比去年下降</w:t>
      </w:r>
      <w:r w:rsidR="009B546F" w:rsidRPr="00174008">
        <w:rPr>
          <w:rFonts w:asciiTheme="majorEastAsia" w:eastAsiaTheme="majorEastAsia" w:hAnsiTheme="majorEastAsia" w:hint="eastAsia"/>
        </w:rPr>
        <w:t>0.</w:t>
      </w:r>
      <w:r w:rsidR="004E76A6" w:rsidRPr="00174008">
        <w:rPr>
          <w:rFonts w:asciiTheme="majorEastAsia" w:eastAsiaTheme="majorEastAsia" w:hAnsiTheme="majorEastAsia" w:hint="eastAsia"/>
        </w:rPr>
        <w:t>91</w:t>
      </w:r>
      <w:r w:rsidR="00FE68E0" w:rsidRPr="00174008">
        <w:rPr>
          <w:rFonts w:asciiTheme="majorEastAsia" w:eastAsiaTheme="majorEastAsia" w:hAnsiTheme="majorEastAsia" w:hint="eastAsia"/>
        </w:rPr>
        <w:t>个百分点。一审判决案件被改判发回重审率</w:t>
      </w:r>
      <w:r w:rsidR="00E41928" w:rsidRPr="00174008">
        <w:rPr>
          <w:rFonts w:asciiTheme="majorEastAsia" w:eastAsiaTheme="majorEastAsia" w:hAnsiTheme="majorEastAsia" w:hint="eastAsia"/>
        </w:rPr>
        <w:t>、被改判案件数，被发回案件数均</w:t>
      </w:r>
      <w:r w:rsidR="00FE68E0" w:rsidRPr="00174008">
        <w:rPr>
          <w:rFonts w:asciiTheme="majorEastAsia" w:eastAsiaTheme="majorEastAsia" w:hAnsiTheme="majorEastAsia" w:hint="eastAsia"/>
        </w:rPr>
        <w:t>有所下降，生效案件改判发回重审率为0</w:t>
      </w:r>
      <w:r w:rsidR="00E41928" w:rsidRPr="00174008">
        <w:rPr>
          <w:rFonts w:asciiTheme="majorEastAsia" w:eastAsiaTheme="majorEastAsia" w:hAnsiTheme="majorEastAsia" w:hint="eastAsia"/>
        </w:rPr>
        <w:t>.1</w:t>
      </w:r>
      <w:r w:rsidR="00981327" w:rsidRPr="00174008">
        <w:rPr>
          <w:rFonts w:asciiTheme="majorEastAsia" w:eastAsiaTheme="majorEastAsia" w:hAnsiTheme="majorEastAsia" w:hint="eastAsia"/>
        </w:rPr>
        <w:t>6</w:t>
      </w:r>
      <w:r w:rsidR="00FE68E0" w:rsidRPr="00174008">
        <w:rPr>
          <w:rFonts w:asciiTheme="majorEastAsia" w:eastAsiaTheme="majorEastAsia" w:hAnsiTheme="majorEastAsia" w:hint="eastAsia"/>
        </w:rPr>
        <w:t>%，同比</w:t>
      </w:r>
      <w:r w:rsidR="00736C39" w:rsidRPr="00174008">
        <w:rPr>
          <w:rFonts w:asciiTheme="majorEastAsia" w:eastAsiaTheme="majorEastAsia" w:hAnsiTheme="majorEastAsia" w:hint="eastAsia"/>
        </w:rPr>
        <w:t>下降0.</w:t>
      </w:r>
      <w:r w:rsidR="00981327" w:rsidRPr="00174008">
        <w:rPr>
          <w:rFonts w:asciiTheme="majorEastAsia" w:eastAsiaTheme="majorEastAsia" w:hAnsiTheme="majorEastAsia" w:hint="eastAsia"/>
        </w:rPr>
        <w:t>11</w:t>
      </w:r>
      <w:r w:rsidR="00FE68E0" w:rsidRPr="00174008">
        <w:rPr>
          <w:rFonts w:asciiTheme="majorEastAsia" w:eastAsiaTheme="majorEastAsia" w:hAnsiTheme="majorEastAsia" w:hint="eastAsia"/>
        </w:rPr>
        <w:t>个百分点。调解率、撤诉率</w:t>
      </w:r>
      <w:r w:rsidR="00F130AA" w:rsidRPr="00174008">
        <w:rPr>
          <w:rFonts w:asciiTheme="majorEastAsia" w:eastAsiaTheme="majorEastAsia" w:hAnsiTheme="majorEastAsia" w:hint="eastAsia"/>
        </w:rPr>
        <w:t>与去年</w:t>
      </w:r>
      <w:r w:rsidR="00F91C91" w:rsidRPr="00174008">
        <w:rPr>
          <w:rFonts w:asciiTheme="majorEastAsia" w:eastAsiaTheme="majorEastAsia" w:hAnsiTheme="majorEastAsia" w:hint="eastAsia"/>
        </w:rPr>
        <w:t>有所上升</w:t>
      </w:r>
      <w:r w:rsidR="00FE68E0" w:rsidRPr="00174008">
        <w:rPr>
          <w:rFonts w:asciiTheme="majorEastAsia" w:eastAsiaTheme="majorEastAsia" w:hAnsiTheme="majorEastAsia" w:hint="eastAsia"/>
        </w:rPr>
        <w:t>，这几个指标说明审判</w:t>
      </w:r>
      <w:r w:rsidR="00F130AA" w:rsidRPr="00174008">
        <w:rPr>
          <w:rFonts w:asciiTheme="majorEastAsia" w:eastAsiaTheme="majorEastAsia" w:hAnsiTheme="majorEastAsia" w:hint="eastAsia"/>
        </w:rPr>
        <w:t>效果保持较平稳水平</w:t>
      </w:r>
      <w:r w:rsidR="00FE68E0" w:rsidRPr="00174008">
        <w:rPr>
          <w:rFonts w:asciiTheme="majorEastAsia" w:eastAsiaTheme="majorEastAsia" w:hAnsiTheme="majorEastAsia" w:hint="eastAsia"/>
        </w:rPr>
        <w:t>。</w:t>
      </w:r>
    </w:p>
    <w:p w:rsidR="00FE68E0" w:rsidRPr="00174008" w:rsidRDefault="00FE68E0" w:rsidP="00821A47">
      <w:pPr>
        <w:snapToGrid w:val="0"/>
        <w:spacing w:line="580" w:lineRule="exact"/>
        <w:ind w:firstLineChars="200" w:firstLine="643"/>
        <w:rPr>
          <w:rFonts w:asciiTheme="majorEastAsia" w:eastAsiaTheme="majorEastAsia" w:hAnsiTheme="majorEastAsia" w:cs="宋体"/>
          <w:b/>
          <w:color w:val="000000"/>
        </w:rPr>
      </w:pPr>
      <w:r w:rsidRPr="00174008">
        <w:rPr>
          <w:rFonts w:asciiTheme="majorEastAsia" w:eastAsiaTheme="majorEastAsia" w:hAnsiTheme="majorEastAsia" w:cs="宋体" w:hint="eastAsia"/>
          <w:b/>
          <w:color w:val="000000"/>
        </w:rPr>
        <w:lastRenderedPageBreak/>
        <w:t>三是电子法院运用情况</w:t>
      </w:r>
      <w:r w:rsidR="00110C56" w:rsidRPr="00174008">
        <w:rPr>
          <w:rFonts w:asciiTheme="majorEastAsia" w:eastAsiaTheme="majorEastAsia" w:hAnsiTheme="majorEastAsia" w:cs="宋体" w:hint="eastAsia"/>
          <w:b/>
          <w:color w:val="000000"/>
        </w:rPr>
        <w:t>不佳</w:t>
      </w:r>
      <w:r w:rsidRPr="00174008">
        <w:rPr>
          <w:rFonts w:asciiTheme="majorEastAsia" w:eastAsiaTheme="majorEastAsia" w:hAnsiTheme="majorEastAsia" w:cs="宋体" w:hint="eastAsia"/>
          <w:b/>
          <w:color w:val="000000"/>
        </w:rPr>
        <w:t>。</w:t>
      </w:r>
    </w:p>
    <w:p w:rsidR="00F130AA" w:rsidRPr="00174008" w:rsidRDefault="00920187" w:rsidP="00920187">
      <w:pPr>
        <w:snapToGrid w:val="0"/>
        <w:spacing w:line="360" w:lineRule="auto"/>
        <w:ind w:firstLine="645"/>
        <w:rPr>
          <w:rFonts w:asciiTheme="majorEastAsia" w:eastAsiaTheme="majorEastAsia" w:hAnsiTheme="majorEastAsia"/>
          <w:color w:val="000000"/>
        </w:rPr>
      </w:pPr>
      <w:r w:rsidRPr="00174008">
        <w:rPr>
          <w:rFonts w:asciiTheme="majorEastAsia" w:eastAsiaTheme="majorEastAsia" w:hAnsiTheme="majorEastAsia" w:hint="eastAsia"/>
          <w:color w:val="000000"/>
        </w:rPr>
        <w:t>2017年上半年和龙市人民法院网上立案750件，网上交费81件，电子送达315件，审诉辩3件，网上阅卷、云会议、证据交换均未应用。</w:t>
      </w:r>
      <w:r w:rsidR="00B0045E" w:rsidRPr="00174008">
        <w:rPr>
          <w:rFonts w:asciiTheme="majorEastAsia" w:eastAsiaTheme="majorEastAsia" w:hAnsiTheme="majorEastAsia" w:hint="eastAsia"/>
          <w:color w:val="000000"/>
        </w:rPr>
        <w:t>法官</w:t>
      </w:r>
      <w:r w:rsidR="001534F6" w:rsidRPr="00174008">
        <w:rPr>
          <w:rFonts w:asciiTheme="majorEastAsia" w:eastAsiaTheme="majorEastAsia" w:hAnsiTheme="majorEastAsia" w:hint="eastAsia"/>
          <w:color w:val="000000"/>
        </w:rPr>
        <w:t>影</w:t>
      </w:r>
      <w:r w:rsidR="00B0045E" w:rsidRPr="00174008">
        <w:rPr>
          <w:rFonts w:asciiTheme="majorEastAsia" w:eastAsiaTheme="majorEastAsia" w:hAnsiTheme="majorEastAsia" w:hint="eastAsia"/>
          <w:color w:val="000000"/>
        </w:rPr>
        <w:t>主动适用电子法院功能，但</w:t>
      </w:r>
      <w:r w:rsidR="006079EA" w:rsidRPr="00174008">
        <w:rPr>
          <w:rFonts w:asciiTheme="majorEastAsia" w:eastAsiaTheme="majorEastAsia" w:hAnsiTheme="majorEastAsia" w:hint="eastAsia"/>
          <w:color w:val="000000"/>
        </w:rPr>
        <w:t>尚未</w:t>
      </w:r>
      <w:r w:rsidR="006E6B72" w:rsidRPr="00174008">
        <w:rPr>
          <w:rFonts w:asciiTheme="majorEastAsia" w:eastAsiaTheme="majorEastAsia" w:hAnsiTheme="majorEastAsia" w:hint="eastAsia"/>
          <w:color w:val="000000"/>
        </w:rPr>
        <w:t>运用</w:t>
      </w:r>
      <w:r w:rsidR="00B0045E" w:rsidRPr="00174008">
        <w:rPr>
          <w:rFonts w:asciiTheme="majorEastAsia" w:eastAsiaTheme="majorEastAsia" w:hAnsiTheme="majorEastAsia" w:hint="eastAsia"/>
          <w:color w:val="000000"/>
        </w:rPr>
        <w:t>证据交换</w:t>
      </w:r>
      <w:r w:rsidR="006079EA" w:rsidRPr="00174008">
        <w:rPr>
          <w:rFonts w:asciiTheme="majorEastAsia" w:eastAsiaTheme="majorEastAsia" w:hAnsiTheme="majorEastAsia" w:hint="eastAsia"/>
          <w:color w:val="000000"/>
        </w:rPr>
        <w:t>功能</w:t>
      </w:r>
      <w:r w:rsidR="00B0045E" w:rsidRPr="00174008">
        <w:rPr>
          <w:rFonts w:asciiTheme="majorEastAsia" w:eastAsiaTheme="majorEastAsia" w:hAnsiTheme="majorEastAsia" w:hint="eastAsia"/>
          <w:color w:val="000000"/>
        </w:rPr>
        <w:t>，</w:t>
      </w:r>
      <w:r w:rsidR="00004462" w:rsidRPr="00174008">
        <w:rPr>
          <w:rFonts w:asciiTheme="majorEastAsia" w:eastAsiaTheme="majorEastAsia" w:hAnsiTheme="majorEastAsia" w:hint="eastAsia"/>
          <w:color w:val="000000"/>
        </w:rPr>
        <w:t>法官应该更加能动</w:t>
      </w:r>
      <w:r w:rsidR="006E6B72" w:rsidRPr="00174008">
        <w:rPr>
          <w:rFonts w:asciiTheme="majorEastAsia" w:eastAsiaTheme="majorEastAsia" w:hAnsiTheme="majorEastAsia" w:hint="eastAsia"/>
          <w:color w:val="000000"/>
        </w:rPr>
        <w:t>地运用电子法院，方便当事人</w:t>
      </w:r>
      <w:r w:rsidR="006079EA" w:rsidRPr="00174008">
        <w:rPr>
          <w:rFonts w:asciiTheme="majorEastAsia" w:eastAsiaTheme="majorEastAsia" w:hAnsiTheme="majorEastAsia" w:hint="eastAsia"/>
          <w:color w:val="000000"/>
        </w:rPr>
        <w:t>。</w:t>
      </w:r>
    </w:p>
    <w:p w:rsidR="006079EA" w:rsidRPr="00174008" w:rsidRDefault="006079EA" w:rsidP="001B5811">
      <w:pPr>
        <w:snapToGrid w:val="0"/>
        <w:spacing w:line="580" w:lineRule="exact"/>
        <w:ind w:firstLineChars="196" w:firstLine="630"/>
        <w:rPr>
          <w:rFonts w:asciiTheme="majorEastAsia" w:eastAsiaTheme="majorEastAsia" w:hAnsiTheme="majorEastAsia" w:cs="宋体"/>
          <w:b/>
          <w:color w:val="000000"/>
        </w:rPr>
      </w:pPr>
      <w:r w:rsidRPr="00174008">
        <w:rPr>
          <w:rFonts w:asciiTheme="majorEastAsia" w:eastAsiaTheme="majorEastAsia" w:hAnsiTheme="majorEastAsia" w:cs="宋体" w:hint="eastAsia"/>
          <w:b/>
          <w:color w:val="000000"/>
        </w:rPr>
        <w:t>四是已结案件归档</w:t>
      </w:r>
      <w:r w:rsidR="00044B21" w:rsidRPr="00174008">
        <w:rPr>
          <w:rFonts w:asciiTheme="majorEastAsia" w:eastAsiaTheme="majorEastAsia" w:hAnsiTheme="majorEastAsia" w:cs="宋体" w:hint="eastAsia"/>
          <w:b/>
          <w:color w:val="000000"/>
        </w:rPr>
        <w:t>工作效率不高。</w:t>
      </w:r>
    </w:p>
    <w:p w:rsidR="001B5811" w:rsidRPr="00174008" w:rsidRDefault="00920187" w:rsidP="00920187">
      <w:pPr>
        <w:snapToGrid w:val="0"/>
        <w:spacing w:line="580" w:lineRule="exact"/>
        <w:ind w:firstLineChars="196" w:firstLine="627"/>
        <w:rPr>
          <w:rFonts w:asciiTheme="majorEastAsia" w:eastAsiaTheme="majorEastAsia" w:hAnsiTheme="majorEastAsia" w:cs="宋体"/>
          <w:b/>
          <w:color w:val="000000"/>
        </w:rPr>
      </w:pPr>
      <w:r w:rsidRPr="00174008">
        <w:rPr>
          <w:rFonts w:asciiTheme="majorEastAsia" w:eastAsiaTheme="majorEastAsia" w:hAnsiTheme="majorEastAsia" w:hint="eastAsia"/>
          <w:color w:val="000000"/>
        </w:rPr>
        <w:t>2017年上半年</w:t>
      </w:r>
      <w:r w:rsidRPr="00174008">
        <w:rPr>
          <w:rFonts w:asciiTheme="majorEastAsia" w:eastAsiaTheme="majorEastAsia" w:hAnsiTheme="majorEastAsia" w:hint="eastAsia"/>
        </w:rPr>
        <w:t>和龙市人民法院共审（执）结刑事、民事、行政、赔偿、执行、审查监督案件应归档的案件951件，已归档案件</w:t>
      </w:r>
      <w:r w:rsidR="00715462" w:rsidRPr="00174008">
        <w:rPr>
          <w:rFonts w:asciiTheme="majorEastAsia" w:eastAsiaTheme="majorEastAsia" w:hAnsiTheme="majorEastAsia" w:hint="eastAsia"/>
        </w:rPr>
        <w:t>730</w:t>
      </w:r>
      <w:r w:rsidRPr="00174008">
        <w:rPr>
          <w:rFonts w:asciiTheme="majorEastAsia" w:eastAsiaTheme="majorEastAsia" w:hAnsiTheme="majorEastAsia" w:hint="eastAsia"/>
        </w:rPr>
        <w:t>件，</w:t>
      </w:r>
      <w:r w:rsidR="0008268F" w:rsidRPr="00174008">
        <w:rPr>
          <w:rFonts w:asciiTheme="majorEastAsia" w:eastAsiaTheme="majorEastAsia" w:hAnsiTheme="majorEastAsia" w:hint="eastAsia"/>
          <w:color w:val="000000"/>
        </w:rPr>
        <w:t>未归档案件</w:t>
      </w:r>
      <w:r w:rsidRPr="00174008">
        <w:rPr>
          <w:rFonts w:asciiTheme="majorEastAsia" w:eastAsiaTheme="majorEastAsia" w:hAnsiTheme="majorEastAsia" w:hint="eastAsia"/>
          <w:color w:val="000000"/>
        </w:rPr>
        <w:t>22</w:t>
      </w:r>
      <w:r w:rsidR="00715462" w:rsidRPr="00174008">
        <w:rPr>
          <w:rFonts w:asciiTheme="majorEastAsia" w:eastAsiaTheme="majorEastAsia" w:hAnsiTheme="majorEastAsia" w:hint="eastAsia"/>
          <w:color w:val="000000"/>
        </w:rPr>
        <w:t>1</w:t>
      </w:r>
      <w:r w:rsidR="0008268F" w:rsidRPr="00174008">
        <w:rPr>
          <w:rFonts w:asciiTheme="majorEastAsia" w:eastAsiaTheme="majorEastAsia" w:hAnsiTheme="majorEastAsia" w:hint="eastAsia"/>
          <w:color w:val="000000"/>
        </w:rPr>
        <w:t>件，</w:t>
      </w:r>
      <w:r w:rsidR="00671518" w:rsidRPr="00174008">
        <w:rPr>
          <w:rFonts w:asciiTheme="majorEastAsia" w:eastAsiaTheme="majorEastAsia" w:hAnsiTheme="majorEastAsia" w:hint="eastAsia"/>
          <w:color w:val="000000"/>
        </w:rPr>
        <w:t>其中</w:t>
      </w:r>
      <w:r w:rsidR="00A60D67" w:rsidRPr="00174008">
        <w:rPr>
          <w:rFonts w:asciiTheme="majorEastAsia" w:eastAsiaTheme="majorEastAsia" w:hAnsiTheme="majorEastAsia" w:hint="eastAsia"/>
          <w:color w:val="000000"/>
        </w:rPr>
        <w:t>刑事案件未归档</w:t>
      </w:r>
      <w:r w:rsidR="009C5CE0" w:rsidRPr="00174008">
        <w:rPr>
          <w:rFonts w:asciiTheme="majorEastAsia" w:eastAsiaTheme="majorEastAsia" w:hAnsiTheme="majorEastAsia" w:hint="eastAsia"/>
          <w:color w:val="000000"/>
        </w:rPr>
        <w:t>13</w:t>
      </w:r>
      <w:r w:rsidR="00A60D67" w:rsidRPr="00174008">
        <w:rPr>
          <w:rFonts w:asciiTheme="majorEastAsia" w:eastAsiaTheme="majorEastAsia" w:hAnsiTheme="majorEastAsia" w:hint="eastAsia"/>
          <w:color w:val="000000"/>
        </w:rPr>
        <w:t>件，民事案件未归档</w:t>
      </w:r>
      <w:r w:rsidR="009C5CE0" w:rsidRPr="00174008">
        <w:rPr>
          <w:rFonts w:asciiTheme="majorEastAsia" w:eastAsiaTheme="majorEastAsia" w:hAnsiTheme="majorEastAsia" w:hint="eastAsia"/>
          <w:color w:val="000000"/>
        </w:rPr>
        <w:t>38</w:t>
      </w:r>
      <w:r w:rsidR="00A60D67" w:rsidRPr="00174008">
        <w:rPr>
          <w:rFonts w:asciiTheme="majorEastAsia" w:eastAsiaTheme="majorEastAsia" w:hAnsiTheme="majorEastAsia" w:hint="eastAsia"/>
          <w:color w:val="000000"/>
        </w:rPr>
        <w:t>件</w:t>
      </w:r>
      <w:r w:rsidR="001534F6" w:rsidRPr="00174008">
        <w:rPr>
          <w:rFonts w:asciiTheme="majorEastAsia" w:eastAsiaTheme="majorEastAsia" w:hAnsiTheme="majorEastAsia" w:hint="eastAsia"/>
          <w:color w:val="000000"/>
        </w:rPr>
        <w:t>，</w:t>
      </w:r>
      <w:r w:rsidR="009C5CE0" w:rsidRPr="00174008">
        <w:rPr>
          <w:rFonts w:asciiTheme="majorEastAsia" w:eastAsiaTheme="majorEastAsia" w:hAnsiTheme="majorEastAsia" w:hint="eastAsia"/>
          <w:color w:val="000000"/>
        </w:rPr>
        <w:t>行政案件未归档20件，</w:t>
      </w:r>
      <w:r w:rsidR="00A60D67" w:rsidRPr="00174008">
        <w:rPr>
          <w:rFonts w:asciiTheme="majorEastAsia" w:eastAsiaTheme="majorEastAsia" w:hAnsiTheme="majorEastAsia" w:hint="eastAsia"/>
          <w:color w:val="000000"/>
        </w:rPr>
        <w:t>执行案件未归档</w:t>
      </w:r>
      <w:r w:rsidR="009C5CE0" w:rsidRPr="00174008">
        <w:rPr>
          <w:rFonts w:asciiTheme="majorEastAsia" w:eastAsiaTheme="majorEastAsia" w:hAnsiTheme="majorEastAsia" w:hint="eastAsia"/>
          <w:color w:val="000000"/>
        </w:rPr>
        <w:t>150</w:t>
      </w:r>
      <w:r w:rsidR="00A60D67" w:rsidRPr="00174008">
        <w:rPr>
          <w:rFonts w:asciiTheme="majorEastAsia" w:eastAsiaTheme="majorEastAsia" w:hAnsiTheme="majorEastAsia" w:hint="eastAsia"/>
          <w:color w:val="000000"/>
        </w:rPr>
        <w:t>件，</w:t>
      </w:r>
      <w:r w:rsidR="003872B8" w:rsidRPr="00174008">
        <w:rPr>
          <w:rFonts w:asciiTheme="majorEastAsia" w:eastAsiaTheme="majorEastAsia" w:hAnsiTheme="majorEastAsia" w:hint="eastAsia"/>
          <w:color w:val="000000"/>
        </w:rPr>
        <w:t>未归档案件承办人应积极及时进行归档。</w:t>
      </w:r>
    </w:p>
    <w:p w:rsidR="000F5790" w:rsidRPr="00174008" w:rsidRDefault="006079EA" w:rsidP="001B5811">
      <w:pPr>
        <w:snapToGrid w:val="0"/>
        <w:spacing w:line="580" w:lineRule="exact"/>
        <w:ind w:firstLine="645"/>
        <w:rPr>
          <w:rFonts w:asciiTheme="majorEastAsia" w:eastAsiaTheme="majorEastAsia" w:hAnsiTheme="majorEastAsia"/>
          <w:color w:val="000000"/>
        </w:rPr>
      </w:pPr>
      <w:r w:rsidRPr="00174008">
        <w:rPr>
          <w:rFonts w:asciiTheme="majorEastAsia" w:eastAsiaTheme="majorEastAsia" w:hAnsiTheme="majorEastAsia" w:hint="eastAsia"/>
          <w:b/>
          <w:color w:val="000000"/>
        </w:rPr>
        <w:t>五</w:t>
      </w:r>
      <w:r w:rsidR="000F5790" w:rsidRPr="00174008">
        <w:rPr>
          <w:rFonts w:asciiTheme="majorEastAsia" w:eastAsiaTheme="majorEastAsia" w:hAnsiTheme="majorEastAsia" w:hint="eastAsia"/>
          <w:b/>
          <w:color w:val="000000"/>
        </w:rPr>
        <w:t>、下一步工作</w:t>
      </w:r>
      <w:r w:rsidR="008007B2" w:rsidRPr="00174008">
        <w:rPr>
          <w:rFonts w:asciiTheme="majorEastAsia" w:eastAsiaTheme="majorEastAsia" w:hAnsiTheme="majorEastAsia" w:hint="eastAsia"/>
          <w:b/>
          <w:color w:val="000000"/>
        </w:rPr>
        <w:t>打算</w:t>
      </w:r>
    </w:p>
    <w:p w:rsidR="00393CDA" w:rsidRPr="00174008" w:rsidRDefault="00393CDA" w:rsidP="00393CDA">
      <w:pPr>
        <w:snapToGrid w:val="0"/>
        <w:spacing w:line="580" w:lineRule="exact"/>
        <w:ind w:firstLine="645"/>
        <w:rPr>
          <w:rFonts w:asciiTheme="majorEastAsia" w:eastAsiaTheme="majorEastAsia" w:hAnsiTheme="majorEastAsia"/>
          <w:color w:val="000000"/>
        </w:rPr>
      </w:pPr>
      <w:r w:rsidRPr="00174008">
        <w:rPr>
          <w:rFonts w:asciiTheme="majorEastAsia" w:eastAsiaTheme="majorEastAsia" w:hAnsiTheme="majorEastAsia" w:hint="eastAsia"/>
          <w:color w:val="000000"/>
        </w:rPr>
        <w:t>根据</w:t>
      </w:r>
      <w:r w:rsidR="00AC56F3" w:rsidRPr="00174008">
        <w:rPr>
          <w:rFonts w:asciiTheme="majorEastAsia" w:eastAsiaTheme="majorEastAsia" w:hAnsiTheme="majorEastAsia" w:hint="eastAsia"/>
          <w:color w:val="000000"/>
        </w:rPr>
        <w:t>省高院关于进一步创新和加强审判管理工作全面提升审判管理法治化、精细化、信息化水平的要求。</w:t>
      </w:r>
      <w:r w:rsidRPr="00174008">
        <w:rPr>
          <w:rFonts w:asciiTheme="majorEastAsia" w:eastAsiaTheme="majorEastAsia" w:hAnsiTheme="majorEastAsia" w:hint="eastAsia"/>
          <w:color w:val="000000"/>
        </w:rPr>
        <w:t>我院在2017年工作中将加强审判态势分析工作，每一季度向院党组汇报我院、中院和省院审判运行态势工作，作出前瞻性预判，为院领导科学决策提供依据；认真做好均衡结案工作，加强审判效率管理，积极缩短案件的审理周期，</w:t>
      </w:r>
      <w:r w:rsidR="00352350" w:rsidRPr="00174008">
        <w:rPr>
          <w:rFonts w:asciiTheme="majorEastAsia" w:eastAsiaTheme="majorEastAsia" w:hAnsiTheme="majorEastAsia" w:hint="eastAsia"/>
          <w:color w:val="000000"/>
        </w:rPr>
        <w:t>合理利用时间</w:t>
      </w:r>
      <w:r w:rsidRPr="00174008">
        <w:rPr>
          <w:rFonts w:asciiTheme="majorEastAsia" w:eastAsiaTheme="majorEastAsia" w:hAnsiTheme="majorEastAsia" w:hint="eastAsia"/>
          <w:color w:val="000000"/>
        </w:rPr>
        <w:t>，集中审结</w:t>
      </w:r>
      <w:r w:rsidR="00636A9E" w:rsidRPr="00174008">
        <w:rPr>
          <w:rFonts w:asciiTheme="majorEastAsia" w:eastAsiaTheme="majorEastAsia" w:hAnsiTheme="majorEastAsia"/>
          <w:color w:val="000000"/>
        </w:rPr>
        <w:t>201</w:t>
      </w:r>
      <w:r w:rsidR="00D60C02" w:rsidRPr="00174008">
        <w:rPr>
          <w:rFonts w:asciiTheme="majorEastAsia" w:eastAsiaTheme="majorEastAsia" w:hAnsiTheme="majorEastAsia" w:hint="eastAsia"/>
          <w:color w:val="000000"/>
        </w:rPr>
        <w:t>6</w:t>
      </w:r>
      <w:r w:rsidR="00636A9E" w:rsidRPr="00174008">
        <w:rPr>
          <w:rFonts w:asciiTheme="majorEastAsia" w:eastAsiaTheme="majorEastAsia" w:hAnsiTheme="majorEastAsia"/>
          <w:color w:val="000000"/>
        </w:rPr>
        <w:t>年</w:t>
      </w:r>
      <w:r w:rsidRPr="00174008">
        <w:rPr>
          <w:rFonts w:asciiTheme="majorEastAsia" w:eastAsiaTheme="majorEastAsia" w:hAnsiTheme="majorEastAsia"/>
          <w:color w:val="000000"/>
        </w:rPr>
        <w:t>12</w:t>
      </w:r>
      <w:r w:rsidRPr="00174008">
        <w:rPr>
          <w:rFonts w:asciiTheme="majorEastAsia" w:eastAsiaTheme="majorEastAsia" w:hAnsiTheme="majorEastAsia" w:hint="eastAsia"/>
          <w:color w:val="000000"/>
        </w:rPr>
        <w:t>月</w:t>
      </w:r>
      <w:r w:rsidR="003B6014" w:rsidRPr="00174008">
        <w:rPr>
          <w:rFonts w:asciiTheme="majorEastAsia" w:eastAsiaTheme="majorEastAsia" w:hAnsiTheme="majorEastAsia"/>
          <w:color w:val="000000"/>
        </w:rPr>
        <w:t>30日</w:t>
      </w:r>
      <w:r w:rsidRPr="00174008">
        <w:rPr>
          <w:rFonts w:asciiTheme="majorEastAsia" w:eastAsiaTheme="majorEastAsia" w:hAnsiTheme="majorEastAsia" w:hint="eastAsia"/>
          <w:color w:val="000000"/>
        </w:rPr>
        <w:t>前未结案件；继续做好案件评查、审判质效评估，审判管理基础理论调研工作，及时查找审判执行工作中存在</w:t>
      </w:r>
      <w:r w:rsidR="00004462" w:rsidRPr="00174008">
        <w:rPr>
          <w:rFonts w:asciiTheme="majorEastAsia" w:eastAsiaTheme="majorEastAsia" w:hAnsiTheme="majorEastAsia" w:hint="eastAsia"/>
          <w:color w:val="000000"/>
        </w:rPr>
        <w:t>的</w:t>
      </w:r>
      <w:r w:rsidRPr="00174008">
        <w:rPr>
          <w:rFonts w:asciiTheme="majorEastAsia" w:eastAsiaTheme="majorEastAsia" w:hAnsiTheme="majorEastAsia" w:hint="eastAsia"/>
          <w:color w:val="000000"/>
        </w:rPr>
        <w:t>问题和薄弱环节，全面提升审判质量、效率和效果；认真落实院、庭长办案、专业法官会议、审判委员会、审判团队及专业化合</w:t>
      </w:r>
      <w:r w:rsidRPr="00174008">
        <w:rPr>
          <w:rFonts w:asciiTheme="majorEastAsia" w:eastAsiaTheme="majorEastAsia" w:hAnsiTheme="majorEastAsia" w:hint="eastAsia"/>
          <w:color w:val="000000"/>
        </w:rPr>
        <w:lastRenderedPageBreak/>
        <w:t>议庭工作，将合议庭和承办法官的主体责任落到实处，认真贯彻落实裁判文书的签署制，实现“让审理者裁判，由裁判者负责”；深入推进审判流程公开、裁判文书公开、庭审公开工作等工作，主动接受社会各界监督，及时回应人民群众关切，保障当事人合法权益。</w:t>
      </w:r>
    </w:p>
    <w:p w:rsidR="008007B2" w:rsidRPr="00174008" w:rsidRDefault="008007B2" w:rsidP="00393CDA">
      <w:pPr>
        <w:snapToGrid w:val="0"/>
        <w:spacing w:line="580" w:lineRule="exact"/>
        <w:ind w:firstLine="645"/>
        <w:rPr>
          <w:rFonts w:asciiTheme="majorEastAsia" w:eastAsiaTheme="majorEastAsia" w:hAnsiTheme="majorEastAsia"/>
          <w:color w:val="000000"/>
        </w:rPr>
      </w:pPr>
    </w:p>
    <w:p w:rsidR="008007B2" w:rsidRPr="00174008" w:rsidRDefault="008007B2" w:rsidP="00393CDA">
      <w:pPr>
        <w:snapToGrid w:val="0"/>
        <w:spacing w:line="540" w:lineRule="exact"/>
        <w:rPr>
          <w:rFonts w:asciiTheme="majorEastAsia" w:eastAsiaTheme="majorEastAsia" w:hAnsiTheme="majorEastAsia"/>
        </w:rPr>
      </w:pPr>
    </w:p>
    <w:sectPr w:rsidR="008007B2" w:rsidRPr="00174008" w:rsidSect="00095164">
      <w:headerReference w:type="default" r:id="rId18"/>
      <w:footerReference w:type="default" r:id="rId19"/>
      <w:pgSz w:w="11906" w:h="16838"/>
      <w:pgMar w:top="1814" w:right="1588" w:bottom="1418" w:left="1588" w:header="680" w:footer="680" w:gutter="0"/>
      <w:pgNumType w:fmt="numberInDash" w:start="1"/>
      <w:cols w:space="720"/>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1D0" w:rsidRDefault="004721D0">
      <w:r>
        <w:separator/>
      </w:r>
    </w:p>
  </w:endnote>
  <w:endnote w:type="continuationSeparator" w:id="0">
    <w:p w:rsidR="004721D0" w:rsidRDefault="00472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53A" w:rsidRPr="00D83A95" w:rsidRDefault="00D97850">
    <w:pPr>
      <w:pStyle w:val="a8"/>
      <w:jc w:val="center"/>
      <w:rPr>
        <w:rFonts w:ascii="宋体"/>
        <w:sz w:val="28"/>
        <w:szCs w:val="28"/>
      </w:rPr>
    </w:pPr>
    <w:r w:rsidRPr="00D97850">
      <w:rPr>
        <w:sz w:val="28"/>
        <w:szCs w:val="28"/>
      </w:rPr>
      <w:pict>
        <v:shapetype id="_x0000_t202" coordsize="21600,21600" o:spt="202" path="m,l,21600r21600,l21600,xe">
          <v:stroke joinstyle="miter"/>
          <v:path gradientshapeok="t" o:connecttype="rect"/>
        </v:shapetype>
        <v:shape id="文本框 7" o:spid="_x0000_s2049" type="#_x0000_t202" style="position:absolute;left:0;text-align:left;margin-left:0;margin-top:0;width:39.3pt;height:25.95pt;z-index:251657728;mso-position-horizontal:center;mso-position-horizontal-relative:margin" filled="f" stroked="f">
          <v:textbox style="mso-next-textbox:#文本框 7" inset="0,0,0,0">
            <w:txbxContent>
              <w:p w:rsidR="00F1353A" w:rsidRPr="00AE4223" w:rsidRDefault="00D97850">
                <w:pPr>
                  <w:snapToGrid w:val="0"/>
                  <w:rPr>
                    <w:rFonts w:ascii="宋体" w:eastAsia="宋体"/>
                    <w:sz w:val="28"/>
                    <w:szCs w:val="28"/>
                  </w:rPr>
                </w:pPr>
                <w:r w:rsidRPr="00AE4223">
                  <w:rPr>
                    <w:rFonts w:ascii="宋体" w:eastAsia="宋体" w:hint="eastAsia"/>
                    <w:sz w:val="28"/>
                    <w:szCs w:val="28"/>
                  </w:rPr>
                  <w:fldChar w:fldCharType="begin"/>
                </w:r>
                <w:r w:rsidR="00F1353A" w:rsidRPr="00AE4223">
                  <w:rPr>
                    <w:rFonts w:ascii="宋体" w:eastAsia="宋体" w:hint="eastAsia"/>
                    <w:sz w:val="28"/>
                    <w:szCs w:val="28"/>
                  </w:rPr>
                  <w:instrText xml:space="preserve"> PAGE  \* MERGEFORMAT </w:instrText>
                </w:r>
                <w:r w:rsidRPr="00AE4223">
                  <w:rPr>
                    <w:rFonts w:ascii="宋体" w:eastAsia="宋体" w:hint="eastAsia"/>
                    <w:sz w:val="28"/>
                    <w:szCs w:val="28"/>
                  </w:rPr>
                  <w:fldChar w:fldCharType="separate"/>
                </w:r>
                <w:r w:rsidR="00174008">
                  <w:rPr>
                    <w:rFonts w:ascii="宋体" w:eastAsia="宋体"/>
                    <w:noProof/>
                    <w:sz w:val="28"/>
                    <w:szCs w:val="28"/>
                  </w:rPr>
                  <w:t>- 13 -</w:t>
                </w:r>
                <w:r w:rsidRPr="00AE4223">
                  <w:rPr>
                    <w:rFonts w:ascii="宋体" w:eastAsia="宋体" w:hint="eastAsia"/>
                    <w:sz w:val="28"/>
                    <w:szCs w:val="28"/>
                  </w:rPr>
                  <w:fldChar w:fldCharType="end"/>
                </w:r>
              </w:p>
            </w:txbxContent>
          </v:textbox>
          <w10:wrap anchorx="margin"/>
        </v:shape>
      </w:pict>
    </w:r>
  </w:p>
  <w:p w:rsidR="00F1353A" w:rsidRDefault="00F1353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1D0" w:rsidRDefault="004721D0">
      <w:r>
        <w:separator/>
      </w:r>
    </w:p>
  </w:footnote>
  <w:footnote w:type="continuationSeparator" w:id="0">
    <w:p w:rsidR="004721D0" w:rsidRDefault="00472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53A" w:rsidRDefault="00F1353A" w:rsidP="002B3C15">
    <w:pPr>
      <w:pStyle w:val="a7"/>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72BBD"/>
    <w:multiLevelType w:val="hybridMultilevel"/>
    <w:tmpl w:val="661E0094"/>
    <w:lvl w:ilvl="0" w:tplc="BE126E3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gutterAtTop/>
  <w:stylePaneFormatFilter w:val="3F01"/>
  <w:defaultTabStop w:val="420"/>
  <w:drawingGridHorizontalSpacing w:val="160"/>
  <w:drawingGridVerticalSpacing w:val="435"/>
  <w:displayHorizontalDrawingGridEvery w:val="0"/>
  <w:doNotShadeFormData/>
  <w:characterSpacingControl w:val="compressPunctuation"/>
  <w:doNotValidateAgainstSchema/>
  <w:doNotDemarcateInvalidXml/>
  <w:hdrShapeDefaults>
    <o:shapedefaults v:ext="edit" spidmax="19458"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DD4"/>
    <w:rsid w:val="00003501"/>
    <w:rsid w:val="00004462"/>
    <w:rsid w:val="00004A97"/>
    <w:rsid w:val="00005D2D"/>
    <w:rsid w:val="00007630"/>
    <w:rsid w:val="00007AA9"/>
    <w:rsid w:val="00014102"/>
    <w:rsid w:val="00014AF3"/>
    <w:rsid w:val="00020E5A"/>
    <w:rsid w:val="00021FBC"/>
    <w:rsid w:val="00022BCC"/>
    <w:rsid w:val="00023C3E"/>
    <w:rsid w:val="00024CB5"/>
    <w:rsid w:val="00025B9F"/>
    <w:rsid w:val="000265BC"/>
    <w:rsid w:val="00032BBC"/>
    <w:rsid w:val="0003309B"/>
    <w:rsid w:val="00033F58"/>
    <w:rsid w:val="000378CA"/>
    <w:rsid w:val="00040357"/>
    <w:rsid w:val="000414FE"/>
    <w:rsid w:val="0004254F"/>
    <w:rsid w:val="00044B21"/>
    <w:rsid w:val="00046DA2"/>
    <w:rsid w:val="00047AF6"/>
    <w:rsid w:val="00051DF3"/>
    <w:rsid w:val="00053870"/>
    <w:rsid w:val="00055A71"/>
    <w:rsid w:val="00057428"/>
    <w:rsid w:val="00060BBB"/>
    <w:rsid w:val="00062825"/>
    <w:rsid w:val="00065EE7"/>
    <w:rsid w:val="00067758"/>
    <w:rsid w:val="00067EB6"/>
    <w:rsid w:val="0007024A"/>
    <w:rsid w:val="00071522"/>
    <w:rsid w:val="00071801"/>
    <w:rsid w:val="00071AE9"/>
    <w:rsid w:val="00071B44"/>
    <w:rsid w:val="00073094"/>
    <w:rsid w:val="00080178"/>
    <w:rsid w:val="0008268F"/>
    <w:rsid w:val="00092B4E"/>
    <w:rsid w:val="000931C5"/>
    <w:rsid w:val="00093A54"/>
    <w:rsid w:val="00095164"/>
    <w:rsid w:val="000A04B4"/>
    <w:rsid w:val="000A1984"/>
    <w:rsid w:val="000A2954"/>
    <w:rsid w:val="000A6761"/>
    <w:rsid w:val="000A6C3C"/>
    <w:rsid w:val="000A75B7"/>
    <w:rsid w:val="000A7FA8"/>
    <w:rsid w:val="000B58CB"/>
    <w:rsid w:val="000B67CE"/>
    <w:rsid w:val="000C1B30"/>
    <w:rsid w:val="000C6E68"/>
    <w:rsid w:val="000D05EB"/>
    <w:rsid w:val="000D2B4E"/>
    <w:rsid w:val="000D2E2D"/>
    <w:rsid w:val="000D50EC"/>
    <w:rsid w:val="000D7152"/>
    <w:rsid w:val="000E13C0"/>
    <w:rsid w:val="000E6EDE"/>
    <w:rsid w:val="000E6F94"/>
    <w:rsid w:val="000F0DDE"/>
    <w:rsid w:val="000F21E9"/>
    <w:rsid w:val="000F2486"/>
    <w:rsid w:val="000F32BA"/>
    <w:rsid w:val="000F4896"/>
    <w:rsid w:val="000F4E8C"/>
    <w:rsid w:val="000F5790"/>
    <w:rsid w:val="000F7E36"/>
    <w:rsid w:val="00100381"/>
    <w:rsid w:val="00102D67"/>
    <w:rsid w:val="00104BB6"/>
    <w:rsid w:val="00105096"/>
    <w:rsid w:val="001064A0"/>
    <w:rsid w:val="001077E1"/>
    <w:rsid w:val="00110C56"/>
    <w:rsid w:val="00114048"/>
    <w:rsid w:val="00120D6D"/>
    <w:rsid w:val="00122785"/>
    <w:rsid w:val="00124FA7"/>
    <w:rsid w:val="00126A53"/>
    <w:rsid w:val="00127EE2"/>
    <w:rsid w:val="0013487E"/>
    <w:rsid w:val="0014080F"/>
    <w:rsid w:val="00141B40"/>
    <w:rsid w:val="00142907"/>
    <w:rsid w:val="00143B4D"/>
    <w:rsid w:val="001469EE"/>
    <w:rsid w:val="00147214"/>
    <w:rsid w:val="00151596"/>
    <w:rsid w:val="00152EF7"/>
    <w:rsid w:val="001534F6"/>
    <w:rsid w:val="001562CA"/>
    <w:rsid w:val="00157666"/>
    <w:rsid w:val="001605FE"/>
    <w:rsid w:val="00160620"/>
    <w:rsid w:val="00160F85"/>
    <w:rsid w:val="001621F9"/>
    <w:rsid w:val="00162E33"/>
    <w:rsid w:val="001647AB"/>
    <w:rsid w:val="001648B3"/>
    <w:rsid w:val="00170448"/>
    <w:rsid w:val="001704C3"/>
    <w:rsid w:val="00171641"/>
    <w:rsid w:val="00172A27"/>
    <w:rsid w:val="00173B3D"/>
    <w:rsid w:val="00174008"/>
    <w:rsid w:val="00174540"/>
    <w:rsid w:val="001746B0"/>
    <w:rsid w:val="00176773"/>
    <w:rsid w:val="00180BE0"/>
    <w:rsid w:val="0018527F"/>
    <w:rsid w:val="001863BE"/>
    <w:rsid w:val="00192D21"/>
    <w:rsid w:val="001944D7"/>
    <w:rsid w:val="001957AE"/>
    <w:rsid w:val="00195EDD"/>
    <w:rsid w:val="001969C8"/>
    <w:rsid w:val="001A0196"/>
    <w:rsid w:val="001A0DF2"/>
    <w:rsid w:val="001A1C71"/>
    <w:rsid w:val="001A2AD9"/>
    <w:rsid w:val="001A4659"/>
    <w:rsid w:val="001A5F12"/>
    <w:rsid w:val="001A73E9"/>
    <w:rsid w:val="001A7708"/>
    <w:rsid w:val="001B042A"/>
    <w:rsid w:val="001B5811"/>
    <w:rsid w:val="001B59DE"/>
    <w:rsid w:val="001C0E8D"/>
    <w:rsid w:val="001C1C55"/>
    <w:rsid w:val="001C21E9"/>
    <w:rsid w:val="001C54EA"/>
    <w:rsid w:val="001C5F8A"/>
    <w:rsid w:val="001C78EF"/>
    <w:rsid w:val="001D3C9E"/>
    <w:rsid w:val="001E1E20"/>
    <w:rsid w:val="001E2A9D"/>
    <w:rsid w:val="001E2B2A"/>
    <w:rsid w:val="001E5771"/>
    <w:rsid w:val="001E6E91"/>
    <w:rsid w:val="001F2BB7"/>
    <w:rsid w:val="001F3109"/>
    <w:rsid w:val="001F43B7"/>
    <w:rsid w:val="001F44C2"/>
    <w:rsid w:val="001F6E85"/>
    <w:rsid w:val="001F7047"/>
    <w:rsid w:val="00201268"/>
    <w:rsid w:val="00203950"/>
    <w:rsid w:val="00203A74"/>
    <w:rsid w:val="00204B67"/>
    <w:rsid w:val="0021562C"/>
    <w:rsid w:val="00217E33"/>
    <w:rsid w:val="00220FE0"/>
    <w:rsid w:val="00221AAF"/>
    <w:rsid w:val="002228E4"/>
    <w:rsid w:val="002249B4"/>
    <w:rsid w:val="00226BD8"/>
    <w:rsid w:val="002275F0"/>
    <w:rsid w:val="00227DF7"/>
    <w:rsid w:val="002304B9"/>
    <w:rsid w:val="002315A6"/>
    <w:rsid w:val="00235E93"/>
    <w:rsid w:val="0023692C"/>
    <w:rsid w:val="0023783D"/>
    <w:rsid w:val="00240BA3"/>
    <w:rsid w:val="002424C3"/>
    <w:rsid w:val="00244C0E"/>
    <w:rsid w:val="00244D4E"/>
    <w:rsid w:val="00247514"/>
    <w:rsid w:val="00252027"/>
    <w:rsid w:val="00254C73"/>
    <w:rsid w:val="00267E79"/>
    <w:rsid w:val="00270DB6"/>
    <w:rsid w:val="00275CF6"/>
    <w:rsid w:val="00280563"/>
    <w:rsid w:val="00282797"/>
    <w:rsid w:val="0028306A"/>
    <w:rsid w:val="0028427E"/>
    <w:rsid w:val="00284E77"/>
    <w:rsid w:val="00285916"/>
    <w:rsid w:val="0028747A"/>
    <w:rsid w:val="00290530"/>
    <w:rsid w:val="002927A1"/>
    <w:rsid w:val="00296425"/>
    <w:rsid w:val="00296AFC"/>
    <w:rsid w:val="00297C90"/>
    <w:rsid w:val="002A5367"/>
    <w:rsid w:val="002A5562"/>
    <w:rsid w:val="002A69CD"/>
    <w:rsid w:val="002A7C02"/>
    <w:rsid w:val="002A7FC8"/>
    <w:rsid w:val="002B11CC"/>
    <w:rsid w:val="002B1D1B"/>
    <w:rsid w:val="002B3C15"/>
    <w:rsid w:val="002B3FCB"/>
    <w:rsid w:val="002B4474"/>
    <w:rsid w:val="002B5631"/>
    <w:rsid w:val="002B6D24"/>
    <w:rsid w:val="002C023C"/>
    <w:rsid w:val="002C1BAF"/>
    <w:rsid w:val="002C3FCC"/>
    <w:rsid w:val="002C4A35"/>
    <w:rsid w:val="002C6547"/>
    <w:rsid w:val="002D0421"/>
    <w:rsid w:val="002D094A"/>
    <w:rsid w:val="002D10D5"/>
    <w:rsid w:val="002D71D3"/>
    <w:rsid w:val="002E192D"/>
    <w:rsid w:val="002E45CF"/>
    <w:rsid w:val="002E58F7"/>
    <w:rsid w:val="002E70DD"/>
    <w:rsid w:val="002F20DA"/>
    <w:rsid w:val="002F467F"/>
    <w:rsid w:val="002F5564"/>
    <w:rsid w:val="00310403"/>
    <w:rsid w:val="00311283"/>
    <w:rsid w:val="00311C34"/>
    <w:rsid w:val="003122DF"/>
    <w:rsid w:val="00315820"/>
    <w:rsid w:val="00317A23"/>
    <w:rsid w:val="003233EC"/>
    <w:rsid w:val="00323AB1"/>
    <w:rsid w:val="003244F3"/>
    <w:rsid w:val="00334BE2"/>
    <w:rsid w:val="00336261"/>
    <w:rsid w:val="00336F6C"/>
    <w:rsid w:val="0034230D"/>
    <w:rsid w:val="00342F4C"/>
    <w:rsid w:val="0034685F"/>
    <w:rsid w:val="00346976"/>
    <w:rsid w:val="0034794C"/>
    <w:rsid w:val="00352350"/>
    <w:rsid w:val="00356CE9"/>
    <w:rsid w:val="00357A8F"/>
    <w:rsid w:val="00361571"/>
    <w:rsid w:val="00362C2E"/>
    <w:rsid w:val="00363D9B"/>
    <w:rsid w:val="00363E20"/>
    <w:rsid w:val="00365920"/>
    <w:rsid w:val="0036788D"/>
    <w:rsid w:val="00370090"/>
    <w:rsid w:val="00371D5D"/>
    <w:rsid w:val="00375AC1"/>
    <w:rsid w:val="00380593"/>
    <w:rsid w:val="0038110A"/>
    <w:rsid w:val="00381805"/>
    <w:rsid w:val="003839C3"/>
    <w:rsid w:val="00385DA0"/>
    <w:rsid w:val="003868BB"/>
    <w:rsid w:val="003872B8"/>
    <w:rsid w:val="00390E61"/>
    <w:rsid w:val="003938F5"/>
    <w:rsid w:val="00393CDA"/>
    <w:rsid w:val="003A1872"/>
    <w:rsid w:val="003A509D"/>
    <w:rsid w:val="003A6F5C"/>
    <w:rsid w:val="003A784A"/>
    <w:rsid w:val="003B227E"/>
    <w:rsid w:val="003B6014"/>
    <w:rsid w:val="003C0692"/>
    <w:rsid w:val="003C10EF"/>
    <w:rsid w:val="003C1223"/>
    <w:rsid w:val="003C14E2"/>
    <w:rsid w:val="003C3A27"/>
    <w:rsid w:val="003C4CDD"/>
    <w:rsid w:val="003C6B6C"/>
    <w:rsid w:val="003C76E4"/>
    <w:rsid w:val="003C76E8"/>
    <w:rsid w:val="003D0F63"/>
    <w:rsid w:val="003D29E6"/>
    <w:rsid w:val="003D5A9F"/>
    <w:rsid w:val="003D609E"/>
    <w:rsid w:val="003D73F6"/>
    <w:rsid w:val="003E0149"/>
    <w:rsid w:val="003E1341"/>
    <w:rsid w:val="003E1E22"/>
    <w:rsid w:val="003E3099"/>
    <w:rsid w:val="003E3169"/>
    <w:rsid w:val="003E4E7D"/>
    <w:rsid w:val="003F0982"/>
    <w:rsid w:val="003F18BE"/>
    <w:rsid w:val="003F62DC"/>
    <w:rsid w:val="003F684B"/>
    <w:rsid w:val="003F783B"/>
    <w:rsid w:val="00400F7C"/>
    <w:rsid w:val="00402F0E"/>
    <w:rsid w:val="004039A6"/>
    <w:rsid w:val="00403A06"/>
    <w:rsid w:val="00407AA8"/>
    <w:rsid w:val="004107C5"/>
    <w:rsid w:val="00412B2E"/>
    <w:rsid w:val="00413BCC"/>
    <w:rsid w:val="004220F5"/>
    <w:rsid w:val="0042229B"/>
    <w:rsid w:val="0042350D"/>
    <w:rsid w:val="00424BD2"/>
    <w:rsid w:val="00431B47"/>
    <w:rsid w:val="00432484"/>
    <w:rsid w:val="00433B52"/>
    <w:rsid w:val="0043554A"/>
    <w:rsid w:val="00437B5E"/>
    <w:rsid w:val="0044388F"/>
    <w:rsid w:val="00444DE3"/>
    <w:rsid w:val="0044578B"/>
    <w:rsid w:val="00446F15"/>
    <w:rsid w:val="004470FC"/>
    <w:rsid w:val="00450D3F"/>
    <w:rsid w:val="004536FB"/>
    <w:rsid w:val="00453FCF"/>
    <w:rsid w:val="00453FE0"/>
    <w:rsid w:val="004559B1"/>
    <w:rsid w:val="004608EB"/>
    <w:rsid w:val="004624E8"/>
    <w:rsid w:val="00462616"/>
    <w:rsid w:val="004631AE"/>
    <w:rsid w:val="00465CAA"/>
    <w:rsid w:val="00465E74"/>
    <w:rsid w:val="004721D0"/>
    <w:rsid w:val="00473330"/>
    <w:rsid w:val="00480558"/>
    <w:rsid w:val="004844A6"/>
    <w:rsid w:val="00485E19"/>
    <w:rsid w:val="004950BC"/>
    <w:rsid w:val="004A4437"/>
    <w:rsid w:val="004A5F46"/>
    <w:rsid w:val="004A6FB2"/>
    <w:rsid w:val="004A7C6D"/>
    <w:rsid w:val="004A7E5A"/>
    <w:rsid w:val="004B226A"/>
    <w:rsid w:val="004B2B39"/>
    <w:rsid w:val="004C19ED"/>
    <w:rsid w:val="004C2527"/>
    <w:rsid w:val="004D3141"/>
    <w:rsid w:val="004D397D"/>
    <w:rsid w:val="004D6404"/>
    <w:rsid w:val="004D6EAC"/>
    <w:rsid w:val="004E2041"/>
    <w:rsid w:val="004E4A82"/>
    <w:rsid w:val="004E6884"/>
    <w:rsid w:val="004E76A6"/>
    <w:rsid w:val="004F0433"/>
    <w:rsid w:val="004F0666"/>
    <w:rsid w:val="004F2871"/>
    <w:rsid w:val="004F42FA"/>
    <w:rsid w:val="004F4796"/>
    <w:rsid w:val="004F4BC8"/>
    <w:rsid w:val="004F5B78"/>
    <w:rsid w:val="00501DAF"/>
    <w:rsid w:val="00503354"/>
    <w:rsid w:val="00503F3B"/>
    <w:rsid w:val="005047A5"/>
    <w:rsid w:val="00506473"/>
    <w:rsid w:val="00513CF4"/>
    <w:rsid w:val="00514282"/>
    <w:rsid w:val="00514C2E"/>
    <w:rsid w:val="00514E93"/>
    <w:rsid w:val="0051609F"/>
    <w:rsid w:val="005202BC"/>
    <w:rsid w:val="00520333"/>
    <w:rsid w:val="00521B60"/>
    <w:rsid w:val="005239E7"/>
    <w:rsid w:val="00524F89"/>
    <w:rsid w:val="0053169F"/>
    <w:rsid w:val="00531FD2"/>
    <w:rsid w:val="00536E81"/>
    <w:rsid w:val="00544510"/>
    <w:rsid w:val="00546F39"/>
    <w:rsid w:val="00547B72"/>
    <w:rsid w:val="005527D2"/>
    <w:rsid w:val="00552D93"/>
    <w:rsid w:val="00553FA4"/>
    <w:rsid w:val="005542B9"/>
    <w:rsid w:val="00556745"/>
    <w:rsid w:val="0056062D"/>
    <w:rsid w:val="00561102"/>
    <w:rsid w:val="005622B4"/>
    <w:rsid w:val="005632AE"/>
    <w:rsid w:val="00563D3E"/>
    <w:rsid w:val="00564639"/>
    <w:rsid w:val="0056609B"/>
    <w:rsid w:val="005667DD"/>
    <w:rsid w:val="00567484"/>
    <w:rsid w:val="0056764A"/>
    <w:rsid w:val="00572CAA"/>
    <w:rsid w:val="005746C5"/>
    <w:rsid w:val="0057698F"/>
    <w:rsid w:val="00577DFD"/>
    <w:rsid w:val="00585BCA"/>
    <w:rsid w:val="00586AEA"/>
    <w:rsid w:val="00590351"/>
    <w:rsid w:val="00597E7C"/>
    <w:rsid w:val="005A0079"/>
    <w:rsid w:val="005A54B6"/>
    <w:rsid w:val="005B010C"/>
    <w:rsid w:val="005B4320"/>
    <w:rsid w:val="005B4C73"/>
    <w:rsid w:val="005B6A38"/>
    <w:rsid w:val="005C5C10"/>
    <w:rsid w:val="005D163F"/>
    <w:rsid w:val="005E09B0"/>
    <w:rsid w:val="005E201B"/>
    <w:rsid w:val="005E2F39"/>
    <w:rsid w:val="005E43C0"/>
    <w:rsid w:val="005F08E3"/>
    <w:rsid w:val="005F15CC"/>
    <w:rsid w:val="005F1DC2"/>
    <w:rsid w:val="005F237E"/>
    <w:rsid w:val="005F2E53"/>
    <w:rsid w:val="005F37ED"/>
    <w:rsid w:val="005F426F"/>
    <w:rsid w:val="005F7776"/>
    <w:rsid w:val="00601BE4"/>
    <w:rsid w:val="00601F8F"/>
    <w:rsid w:val="006060C6"/>
    <w:rsid w:val="006079EA"/>
    <w:rsid w:val="0061070B"/>
    <w:rsid w:val="00611D2E"/>
    <w:rsid w:val="00611D77"/>
    <w:rsid w:val="00612810"/>
    <w:rsid w:val="00613B13"/>
    <w:rsid w:val="0061420F"/>
    <w:rsid w:val="00615397"/>
    <w:rsid w:val="00620945"/>
    <w:rsid w:val="00621F9C"/>
    <w:rsid w:val="006247D9"/>
    <w:rsid w:val="006255FC"/>
    <w:rsid w:val="00625677"/>
    <w:rsid w:val="00631191"/>
    <w:rsid w:val="00631849"/>
    <w:rsid w:val="00632769"/>
    <w:rsid w:val="00636A9E"/>
    <w:rsid w:val="006404CB"/>
    <w:rsid w:val="00640B03"/>
    <w:rsid w:val="00640FCD"/>
    <w:rsid w:val="006443A9"/>
    <w:rsid w:val="00645342"/>
    <w:rsid w:val="006521A7"/>
    <w:rsid w:val="0065422F"/>
    <w:rsid w:val="006568EC"/>
    <w:rsid w:val="0065770E"/>
    <w:rsid w:val="00657CEF"/>
    <w:rsid w:val="006605CF"/>
    <w:rsid w:val="006628A3"/>
    <w:rsid w:val="00662AEC"/>
    <w:rsid w:val="00663065"/>
    <w:rsid w:val="00664003"/>
    <w:rsid w:val="006659DD"/>
    <w:rsid w:val="0066748A"/>
    <w:rsid w:val="00667BF3"/>
    <w:rsid w:val="00671518"/>
    <w:rsid w:val="00673AC0"/>
    <w:rsid w:val="00677BE1"/>
    <w:rsid w:val="00680FFA"/>
    <w:rsid w:val="006810E2"/>
    <w:rsid w:val="00682A39"/>
    <w:rsid w:val="00686542"/>
    <w:rsid w:val="00692C63"/>
    <w:rsid w:val="006930C3"/>
    <w:rsid w:val="00693DE9"/>
    <w:rsid w:val="00695104"/>
    <w:rsid w:val="00695BC3"/>
    <w:rsid w:val="006971DD"/>
    <w:rsid w:val="006A0655"/>
    <w:rsid w:val="006A1CAA"/>
    <w:rsid w:val="006A2F95"/>
    <w:rsid w:val="006A3376"/>
    <w:rsid w:val="006A4D4F"/>
    <w:rsid w:val="006A4DD3"/>
    <w:rsid w:val="006A5475"/>
    <w:rsid w:val="006A5AB3"/>
    <w:rsid w:val="006B56E9"/>
    <w:rsid w:val="006B6A07"/>
    <w:rsid w:val="006C6686"/>
    <w:rsid w:val="006C7F31"/>
    <w:rsid w:val="006D1C87"/>
    <w:rsid w:val="006D42A3"/>
    <w:rsid w:val="006D4EF5"/>
    <w:rsid w:val="006D5928"/>
    <w:rsid w:val="006D665E"/>
    <w:rsid w:val="006E6B72"/>
    <w:rsid w:val="006E6C68"/>
    <w:rsid w:val="006F025F"/>
    <w:rsid w:val="006F19B0"/>
    <w:rsid w:val="00702381"/>
    <w:rsid w:val="007048C7"/>
    <w:rsid w:val="0070565C"/>
    <w:rsid w:val="00705A48"/>
    <w:rsid w:val="00706348"/>
    <w:rsid w:val="007100CD"/>
    <w:rsid w:val="00710DE7"/>
    <w:rsid w:val="00712414"/>
    <w:rsid w:val="00715462"/>
    <w:rsid w:val="0072046B"/>
    <w:rsid w:val="007213EB"/>
    <w:rsid w:val="00723AB1"/>
    <w:rsid w:val="00727B3D"/>
    <w:rsid w:val="0073054E"/>
    <w:rsid w:val="00735BE8"/>
    <w:rsid w:val="00736C39"/>
    <w:rsid w:val="00740D72"/>
    <w:rsid w:val="00741CE7"/>
    <w:rsid w:val="00741E7C"/>
    <w:rsid w:val="00746810"/>
    <w:rsid w:val="00746D70"/>
    <w:rsid w:val="00750A40"/>
    <w:rsid w:val="00751119"/>
    <w:rsid w:val="0075168E"/>
    <w:rsid w:val="00755F4F"/>
    <w:rsid w:val="00764A6A"/>
    <w:rsid w:val="00771484"/>
    <w:rsid w:val="00775E4B"/>
    <w:rsid w:val="00776735"/>
    <w:rsid w:val="00780703"/>
    <w:rsid w:val="0078266F"/>
    <w:rsid w:val="00783BB0"/>
    <w:rsid w:val="007850FD"/>
    <w:rsid w:val="0078737A"/>
    <w:rsid w:val="0079219A"/>
    <w:rsid w:val="0079336A"/>
    <w:rsid w:val="007942BD"/>
    <w:rsid w:val="007A117A"/>
    <w:rsid w:val="007A1A73"/>
    <w:rsid w:val="007A4117"/>
    <w:rsid w:val="007A591F"/>
    <w:rsid w:val="007A6878"/>
    <w:rsid w:val="007A68F8"/>
    <w:rsid w:val="007A7B35"/>
    <w:rsid w:val="007B0725"/>
    <w:rsid w:val="007B15D2"/>
    <w:rsid w:val="007B3606"/>
    <w:rsid w:val="007B511D"/>
    <w:rsid w:val="007B6740"/>
    <w:rsid w:val="007C23CB"/>
    <w:rsid w:val="007D085F"/>
    <w:rsid w:val="007D15BD"/>
    <w:rsid w:val="007D2B08"/>
    <w:rsid w:val="007D2FB1"/>
    <w:rsid w:val="007D571D"/>
    <w:rsid w:val="007D66F2"/>
    <w:rsid w:val="007E223D"/>
    <w:rsid w:val="007E3933"/>
    <w:rsid w:val="007E4D4F"/>
    <w:rsid w:val="007E72FE"/>
    <w:rsid w:val="007E79DF"/>
    <w:rsid w:val="007F0E0A"/>
    <w:rsid w:val="007F42E1"/>
    <w:rsid w:val="00800042"/>
    <w:rsid w:val="008007B2"/>
    <w:rsid w:val="008007CF"/>
    <w:rsid w:val="00801095"/>
    <w:rsid w:val="0080169B"/>
    <w:rsid w:val="008019A8"/>
    <w:rsid w:val="008042B6"/>
    <w:rsid w:val="0080661C"/>
    <w:rsid w:val="00807FED"/>
    <w:rsid w:val="008108FF"/>
    <w:rsid w:val="00811584"/>
    <w:rsid w:val="00813260"/>
    <w:rsid w:val="0081456C"/>
    <w:rsid w:val="00815AD4"/>
    <w:rsid w:val="00820728"/>
    <w:rsid w:val="00821A47"/>
    <w:rsid w:val="00821A8C"/>
    <w:rsid w:val="008223C1"/>
    <w:rsid w:val="00824AC9"/>
    <w:rsid w:val="00826601"/>
    <w:rsid w:val="008307E8"/>
    <w:rsid w:val="008308EF"/>
    <w:rsid w:val="0083287B"/>
    <w:rsid w:val="00836557"/>
    <w:rsid w:val="00837BA3"/>
    <w:rsid w:val="00840BAA"/>
    <w:rsid w:val="00842FDA"/>
    <w:rsid w:val="00847A52"/>
    <w:rsid w:val="00850DFD"/>
    <w:rsid w:val="008511F9"/>
    <w:rsid w:val="00852331"/>
    <w:rsid w:val="008529D3"/>
    <w:rsid w:val="008532AD"/>
    <w:rsid w:val="00856238"/>
    <w:rsid w:val="0085784D"/>
    <w:rsid w:val="0085785D"/>
    <w:rsid w:val="00857C81"/>
    <w:rsid w:val="0086098C"/>
    <w:rsid w:val="00860FF7"/>
    <w:rsid w:val="00862491"/>
    <w:rsid w:val="0086672D"/>
    <w:rsid w:val="00870909"/>
    <w:rsid w:val="008716EE"/>
    <w:rsid w:val="00874A87"/>
    <w:rsid w:val="008805E5"/>
    <w:rsid w:val="0088417F"/>
    <w:rsid w:val="00884471"/>
    <w:rsid w:val="00884644"/>
    <w:rsid w:val="00885198"/>
    <w:rsid w:val="00885B89"/>
    <w:rsid w:val="00887DDD"/>
    <w:rsid w:val="008905BD"/>
    <w:rsid w:val="0089626E"/>
    <w:rsid w:val="008A1CF9"/>
    <w:rsid w:val="008B3FD5"/>
    <w:rsid w:val="008B67A2"/>
    <w:rsid w:val="008B686E"/>
    <w:rsid w:val="008C1151"/>
    <w:rsid w:val="008C15E6"/>
    <w:rsid w:val="008C21CD"/>
    <w:rsid w:val="008C4480"/>
    <w:rsid w:val="008C4941"/>
    <w:rsid w:val="008C5B6B"/>
    <w:rsid w:val="008D21BC"/>
    <w:rsid w:val="008D54BE"/>
    <w:rsid w:val="008D59AF"/>
    <w:rsid w:val="008D70A5"/>
    <w:rsid w:val="008E24F1"/>
    <w:rsid w:val="008E2593"/>
    <w:rsid w:val="008F0D89"/>
    <w:rsid w:val="008F383A"/>
    <w:rsid w:val="008F7691"/>
    <w:rsid w:val="009002DF"/>
    <w:rsid w:val="00901B73"/>
    <w:rsid w:val="00901CBB"/>
    <w:rsid w:val="009100C2"/>
    <w:rsid w:val="00911C11"/>
    <w:rsid w:val="00911C48"/>
    <w:rsid w:val="00912267"/>
    <w:rsid w:val="0091283A"/>
    <w:rsid w:val="00914A0D"/>
    <w:rsid w:val="00914A51"/>
    <w:rsid w:val="0091733A"/>
    <w:rsid w:val="00920187"/>
    <w:rsid w:val="00921660"/>
    <w:rsid w:val="00923945"/>
    <w:rsid w:val="009300E2"/>
    <w:rsid w:val="00934232"/>
    <w:rsid w:val="00934704"/>
    <w:rsid w:val="00934F45"/>
    <w:rsid w:val="00934F7D"/>
    <w:rsid w:val="009415B1"/>
    <w:rsid w:val="009512EC"/>
    <w:rsid w:val="00955333"/>
    <w:rsid w:val="009605C0"/>
    <w:rsid w:val="0096148E"/>
    <w:rsid w:val="009644FB"/>
    <w:rsid w:val="00965773"/>
    <w:rsid w:val="00967AD0"/>
    <w:rsid w:val="00970B58"/>
    <w:rsid w:val="00972E52"/>
    <w:rsid w:val="00975397"/>
    <w:rsid w:val="00976292"/>
    <w:rsid w:val="0098015F"/>
    <w:rsid w:val="00980771"/>
    <w:rsid w:val="00981327"/>
    <w:rsid w:val="00981CB4"/>
    <w:rsid w:val="009832A1"/>
    <w:rsid w:val="00986202"/>
    <w:rsid w:val="00986A65"/>
    <w:rsid w:val="0098748A"/>
    <w:rsid w:val="009901F3"/>
    <w:rsid w:val="0099398C"/>
    <w:rsid w:val="009947E4"/>
    <w:rsid w:val="009972A6"/>
    <w:rsid w:val="009A0398"/>
    <w:rsid w:val="009A39D1"/>
    <w:rsid w:val="009A3A1A"/>
    <w:rsid w:val="009A575F"/>
    <w:rsid w:val="009B2319"/>
    <w:rsid w:val="009B3AB3"/>
    <w:rsid w:val="009B48A3"/>
    <w:rsid w:val="009B546F"/>
    <w:rsid w:val="009C259C"/>
    <w:rsid w:val="009C4BB1"/>
    <w:rsid w:val="009C5CE0"/>
    <w:rsid w:val="009C7F99"/>
    <w:rsid w:val="009D0116"/>
    <w:rsid w:val="009E08BD"/>
    <w:rsid w:val="009E0C54"/>
    <w:rsid w:val="009E1889"/>
    <w:rsid w:val="009E251E"/>
    <w:rsid w:val="009E4C5C"/>
    <w:rsid w:val="009F0D1D"/>
    <w:rsid w:val="009F3D3E"/>
    <w:rsid w:val="009F4680"/>
    <w:rsid w:val="00A00AB7"/>
    <w:rsid w:val="00A00C9C"/>
    <w:rsid w:val="00A02320"/>
    <w:rsid w:val="00A118E1"/>
    <w:rsid w:val="00A13B63"/>
    <w:rsid w:val="00A15DF7"/>
    <w:rsid w:val="00A16FEC"/>
    <w:rsid w:val="00A244D1"/>
    <w:rsid w:val="00A313A7"/>
    <w:rsid w:val="00A31CA6"/>
    <w:rsid w:val="00A31EB4"/>
    <w:rsid w:val="00A33B65"/>
    <w:rsid w:val="00A33D68"/>
    <w:rsid w:val="00A353DA"/>
    <w:rsid w:val="00A37D9F"/>
    <w:rsid w:val="00A40F38"/>
    <w:rsid w:val="00A410E0"/>
    <w:rsid w:val="00A41EBF"/>
    <w:rsid w:val="00A46977"/>
    <w:rsid w:val="00A47A31"/>
    <w:rsid w:val="00A52CB9"/>
    <w:rsid w:val="00A54D9B"/>
    <w:rsid w:val="00A55614"/>
    <w:rsid w:val="00A5561A"/>
    <w:rsid w:val="00A56FA5"/>
    <w:rsid w:val="00A603AA"/>
    <w:rsid w:val="00A60D67"/>
    <w:rsid w:val="00A6272B"/>
    <w:rsid w:val="00A7028F"/>
    <w:rsid w:val="00A76474"/>
    <w:rsid w:val="00A7755F"/>
    <w:rsid w:val="00A833A4"/>
    <w:rsid w:val="00A8359F"/>
    <w:rsid w:val="00A83AF4"/>
    <w:rsid w:val="00A85478"/>
    <w:rsid w:val="00A865CC"/>
    <w:rsid w:val="00A873EE"/>
    <w:rsid w:val="00A910F5"/>
    <w:rsid w:val="00A92862"/>
    <w:rsid w:val="00A93C7F"/>
    <w:rsid w:val="00A93C8F"/>
    <w:rsid w:val="00A94227"/>
    <w:rsid w:val="00A9430A"/>
    <w:rsid w:val="00A96060"/>
    <w:rsid w:val="00A9744C"/>
    <w:rsid w:val="00AA066A"/>
    <w:rsid w:val="00AA0C3A"/>
    <w:rsid w:val="00AA0CAF"/>
    <w:rsid w:val="00AA2D10"/>
    <w:rsid w:val="00AA5D72"/>
    <w:rsid w:val="00AB3A0B"/>
    <w:rsid w:val="00AB3A52"/>
    <w:rsid w:val="00AB4039"/>
    <w:rsid w:val="00AB4657"/>
    <w:rsid w:val="00AB7480"/>
    <w:rsid w:val="00AC2705"/>
    <w:rsid w:val="00AC56F3"/>
    <w:rsid w:val="00AC5844"/>
    <w:rsid w:val="00AC6F92"/>
    <w:rsid w:val="00AD32F9"/>
    <w:rsid w:val="00AD3ABA"/>
    <w:rsid w:val="00AD3EB8"/>
    <w:rsid w:val="00AD4867"/>
    <w:rsid w:val="00AD4A09"/>
    <w:rsid w:val="00AD7F75"/>
    <w:rsid w:val="00AE0437"/>
    <w:rsid w:val="00AE0516"/>
    <w:rsid w:val="00AE07EC"/>
    <w:rsid w:val="00AE0AAE"/>
    <w:rsid w:val="00AE2885"/>
    <w:rsid w:val="00AE4223"/>
    <w:rsid w:val="00AE752C"/>
    <w:rsid w:val="00AF326A"/>
    <w:rsid w:val="00AF3734"/>
    <w:rsid w:val="00AF410E"/>
    <w:rsid w:val="00B0045E"/>
    <w:rsid w:val="00B053D4"/>
    <w:rsid w:val="00B10902"/>
    <w:rsid w:val="00B13E3C"/>
    <w:rsid w:val="00B14347"/>
    <w:rsid w:val="00B14877"/>
    <w:rsid w:val="00B15C1E"/>
    <w:rsid w:val="00B23355"/>
    <w:rsid w:val="00B24A64"/>
    <w:rsid w:val="00B24EDD"/>
    <w:rsid w:val="00B25225"/>
    <w:rsid w:val="00B31224"/>
    <w:rsid w:val="00B40D3B"/>
    <w:rsid w:val="00B44F24"/>
    <w:rsid w:val="00B45BA1"/>
    <w:rsid w:val="00B45DCC"/>
    <w:rsid w:val="00B46276"/>
    <w:rsid w:val="00B52084"/>
    <w:rsid w:val="00B52665"/>
    <w:rsid w:val="00B570F5"/>
    <w:rsid w:val="00B576EA"/>
    <w:rsid w:val="00B57C53"/>
    <w:rsid w:val="00B57D2F"/>
    <w:rsid w:val="00B614E6"/>
    <w:rsid w:val="00B62266"/>
    <w:rsid w:val="00B7588B"/>
    <w:rsid w:val="00B77EE5"/>
    <w:rsid w:val="00B83615"/>
    <w:rsid w:val="00B8710D"/>
    <w:rsid w:val="00B90E87"/>
    <w:rsid w:val="00B92C3F"/>
    <w:rsid w:val="00B932F5"/>
    <w:rsid w:val="00B93368"/>
    <w:rsid w:val="00B9510F"/>
    <w:rsid w:val="00B96C10"/>
    <w:rsid w:val="00BA0DD0"/>
    <w:rsid w:val="00BA34F1"/>
    <w:rsid w:val="00BA7260"/>
    <w:rsid w:val="00BB132E"/>
    <w:rsid w:val="00BB2860"/>
    <w:rsid w:val="00BB6778"/>
    <w:rsid w:val="00BB747C"/>
    <w:rsid w:val="00BB757F"/>
    <w:rsid w:val="00BB7D87"/>
    <w:rsid w:val="00BC119D"/>
    <w:rsid w:val="00BC1826"/>
    <w:rsid w:val="00BC3023"/>
    <w:rsid w:val="00BC3311"/>
    <w:rsid w:val="00BD023A"/>
    <w:rsid w:val="00BD058B"/>
    <w:rsid w:val="00BD0DEA"/>
    <w:rsid w:val="00BD1AF0"/>
    <w:rsid w:val="00BD3065"/>
    <w:rsid w:val="00BD6AB5"/>
    <w:rsid w:val="00BD7B1D"/>
    <w:rsid w:val="00BE02A0"/>
    <w:rsid w:val="00BE14AE"/>
    <w:rsid w:val="00BE2852"/>
    <w:rsid w:val="00BE787B"/>
    <w:rsid w:val="00BF6DF2"/>
    <w:rsid w:val="00BF7152"/>
    <w:rsid w:val="00BF736E"/>
    <w:rsid w:val="00C00C73"/>
    <w:rsid w:val="00C011E8"/>
    <w:rsid w:val="00C0165E"/>
    <w:rsid w:val="00C02596"/>
    <w:rsid w:val="00C027CA"/>
    <w:rsid w:val="00C0422E"/>
    <w:rsid w:val="00C05C94"/>
    <w:rsid w:val="00C074BD"/>
    <w:rsid w:val="00C07866"/>
    <w:rsid w:val="00C12755"/>
    <w:rsid w:val="00C15181"/>
    <w:rsid w:val="00C17004"/>
    <w:rsid w:val="00C23BCD"/>
    <w:rsid w:val="00C33B5F"/>
    <w:rsid w:val="00C34420"/>
    <w:rsid w:val="00C357C9"/>
    <w:rsid w:val="00C366EA"/>
    <w:rsid w:val="00C373A3"/>
    <w:rsid w:val="00C37A76"/>
    <w:rsid w:val="00C458F3"/>
    <w:rsid w:val="00C45D98"/>
    <w:rsid w:val="00C46A96"/>
    <w:rsid w:val="00C46DB1"/>
    <w:rsid w:val="00C47173"/>
    <w:rsid w:val="00C478DE"/>
    <w:rsid w:val="00C47999"/>
    <w:rsid w:val="00C527A4"/>
    <w:rsid w:val="00C569A3"/>
    <w:rsid w:val="00C60079"/>
    <w:rsid w:val="00C621A9"/>
    <w:rsid w:val="00C6422F"/>
    <w:rsid w:val="00C70D92"/>
    <w:rsid w:val="00C72330"/>
    <w:rsid w:val="00C770A7"/>
    <w:rsid w:val="00C77DEC"/>
    <w:rsid w:val="00C866E3"/>
    <w:rsid w:val="00C91AA9"/>
    <w:rsid w:val="00C936DC"/>
    <w:rsid w:val="00C96289"/>
    <w:rsid w:val="00C97F71"/>
    <w:rsid w:val="00CA16EF"/>
    <w:rsid w:val="00CA1C9E"/>
    <w:rsid w:val="00CA2814"/>
    <w:rsid w:val="00CA3E25"/>
    <w:rsid w:val="00CA4EE9"/>
    <w:rsid w:val="00CA5733"/>
    <w:rsid w:val="00CA7EE3"/>
    <w:rsid w:val="00CB0094"/>
    <w:rsid w:val="00CC0232"/>
    <w:rsid w:val="00CC26D3"/>
    <w:rsid w:val="00CD0860"/>
    <w:rsid w:val="00CD21F0"/>
    <w:rsid w:val="00CD40B4"/>
    <w:rsid w:val="00CD4DA8"/>
    <w:rsid w:val="00CD750E"/>
    <w:rsid w:val="00CD7F8F"/>
    <w:rsid w:val="00CE2E25"/>
    <w:rsid w:val="00CE4228"/>
    <w:rsid w:val="00CE4A0D"/>
    <w:rsid w:val="00CE5F88"/>
    <w:rsid w:val="00CE6710"/>
    <w:rsid w:val="00CE690F"/>
    <w:rsid w:val="00CE6E9B"/>
    <w:rsid w:val="00CF0698"/>
    <w:rsid w:val="00CF2E6D"/>
    <w:rsid w:val="00CF31AB"/>
    <w:rsid w:val="00CF4B9F"/>
    <w:rsid w:val="00CF5AF6"/>
    <w:rsid w:val="00CF6403"/>
    <w:rsid w:val="00D00313"/>
    <w:rsid w:val="00D05BDF"/>
    <w:rsid w:val="00D10ECA"/>
    <w:rsid w:val="00D12F82"/>
    <w:rsid w:val="00D1401D"/>
    <w:rsid w:val="00D14643"/>
    <w:rsid w:val="00D1617E"/>
    <w:rsid w:val="00D175B0"/>
    <w:rsid w:val="00D17FDB"/>
    <w:rsid w:val="00D2173F"/>
    <w:rsid w:val="00D21EB0"/>
    <w:rsid w:val="00D256F5"/>
    <w:rsid w:val="00D27D08"/>
    <w:rsid w:val="00D300CA"/>
    <w:rsid w:val="00D341AD"/>
    <w:rsid w:val="00D3558D"/>
    <w:rsid w:val="00D360F1"/>
    <w:rsid w:val="00D36270"/>
    <w:rsid w:val="00D43B88"/>
    <w:rsid w:val="00D51515"/>
    <w:rsid w:val="00D60C02"/>
    <w:rsid w:val="00D63BB6"/>
    <w:rsid w:val="00D66394"/>
    <w:rsid w:val="00D66E2D"/>
    <w:rsid w:val="00D670D2"/>
    <w:rsid w:val="00D67AC9"/>
    <w:rsid w:val="00D70331"/>
    <w:rsid w:val="00D70923"/>
    <w:rsid w:val="00D7234F"/>
    <w:rsid w:val="00D730C8"/>
    <w:rsid w:val="00D731F7"/>
    <w:rsid w:val="00D751B3"/>
    <w:rsid w:val="00D83743"/>
    <w:rsid w:val="00D83A95"/>
    <w:rsid w:val="00D85E1B"/>
    <w:rsid w:val="00D86D6B"/>
    <w:rsid w:val="00D873E3"/>
    <w:rsid w:val="00D91700"/>
    <w:rsid w:val="00D91F60"/>
    <w:rsid w:val="00D9297C"/>
    <w:rsid w:val="00D929BC"/>
    <w:rsid w:val="00D934F5"/>
    <w:rsid w:val="00D93833"/>
    <w:rsid w:val="00D94CCC"/>
    <w:rsid w:val="00D957B1"/>
    <w:rsid w:val="00D95A36"/>
    <w:rsid w:val="00D96378"/>
    <w:rsid w:val="00D97850"/>
    <w:rsid w:val="00DA06D5"/>
    <w:rsid w:val="00DA236F"/>
    <w:rsid w:val="00DA3C8D"/>
    <w:rsid w:val="00DA5472"/>
    <w:rsid w:val="00DA58D7"/>
    <w:rsid w:val="00DB4041"/>
    <w:rsid w:val="00DB495A"/>
    <w:rsid w:val="00DC061F"/>
    <w:rsid w:val="00DC13A7"/>
    <w:rsid w:val="00DC4DA8"/>
    <w:rsid w:val="00DC6B8C"/>
    <w:rsid w:val="00DD0F07"/>
    <w:rsid w:val="00DD1C66"/>
    <w:rsid w:val="00DD5DC1"/>
    <w:rsid w:val="00DD6D52"/>
    <w:rsid w:val="00DE460F"/>
    <w:rsid w:val="00DE494B"/>
    <w:rsid w:val="00DE4D52"/>
    <w:rsid w:val="00DE5BD7"/>
    <w:rsid w:val="00DF0837"/>
    <w:rsid w:val="00DF1875"/>
    <w:rsid w:val="00DF4C3C"/>
    <w:rsid w:val="00DF6CA8"/>
    <w:rsid w:val="00E01973"/>
    <w:rsid w:val="00E042DB"/>
    <w:rsid w:val="00E05A50"/>
    <w:rsid w:val="00E05C8A"/>
    <w:rsid w:val="00E05F10"/>
    <w:rsid w:val="00E064C3"/>
    <w:rsid w:val="00E10AEC"/>
    <w:rsid w:val="00E12CBC"/>
    <w:rsid w:val="00E13D9A"/>
    <w:rsid w:val="00E141D1"/>
    <w:rsid w:val="00E15616"/>
    <w:rsid w:val="00E164F0"/>
    <w:rsid w:val="00E16FEE"/>
    <w:rsid w:val="00E17C87"/>
    <w:rsid w:val="00E17E45"/>
    <w:rsid w:val="00E20487"/>
    <w:rsid w:val="00E20F54"/>
    <w:rsid w:val="00E21C3E"/>
    <w:rsid w:val="00E25051"/>
    <w:rsid w:val="00E25275"/>
    <w:rsid w:val="00E26F56"/>
    <w:rsid w:val="00E31DC3"/>
    <w:rsid w:val="00E3281D"/>
    <w:rsid w:val="00E40D96"/>
    <w:rsid w:val="00E41928"/>
    <w:rsid w:val="00E47031"/>
    <w:rsid w:val="00E47E3B"/>
    <w:rsid w:val="00E50686"/>
    <w:rsid w:val="00E507A1"/>
    <w:rsid w:val="00E50C84"/>
    <w:rsid w:val="00E50E2C"/>
    <w:rsid w:val="00E547FD"/>
    <w:rsid w:val="00E54BC0"/>
    <w:rsid w:val="00E54D89"/>
    <w:rsid w:val="00E55DCE"/>
    <w:rsid w:val="00E5690C"/>
    <w:rsid w:val="00E6028A"/>
    <w:rsid w:val="00E60A34"/>
    <w:rsid w:val="00E63BD4"/>
    <w:rsid w:val="00E64A18"/>
    <w:rsid w:val="00E67C4C"/>
    <w:rsid w:val="00E70DD6"/>
    <w:rsid w:val="00E72CBC"/>
    <w:rsid w:val="00E731C9"/>
    <w:rsid w:val="00E73CA4"/>
    <w:rsid w:val="00E73F08"/>
    <w:rsid w:val="00E74078"/>
    <w:rsid w:val="00E7720F"/>
    <w:rsid w:val="00E833A4"/>
    <w:rsid w:val="00E84F84"/>
    <w:rsid w:val="00E912A3"/>
    <w:rsid w:val="00E916C2"/>
    <w:rsid w:val="00E91A67"/>
    <w:rsid w:val="00E92AA7"/>
    <w:rsid w:val="00E93D3C"/>
    <w:rsid w:val="00E96849"/>
    <w:rsid w:val="00EA097E"/>
    <w:rsid w:val="00EA0EC0"/>
    <w:rsid w:val="00EA1820"/>
    <w:rsid w:val="00EA1AFB"/>
    <w:rsid w:val="00EA1F91"/>
    <w:rsid w:val="00EA2485"/>
    <w:rsid w:val="00EA2646"/>
    <w:rsid w:val="00EA50C2"/>
    <w:rsid w:val="00EA68C7"/>
    <w:rsid w:val="00EB0812"/>
    <w:rsid w:val="00EB36C5"/>
    <w:rsid w:val="00EB4C69"/>
    <w:rsid w:val="00EB4F83"/>
    <w:rsid w:val="00EB5AFD"/>
    <w:rsid w:val="00EC03F5"/>
    <w:rsid w:val="00EC1399"/>
    <w:rsid w:val="00EC199F"/>
    <w:rsid w:val="00EC24D2"/>
    <w:rsid w:val="00ED00BF"/>
    <w:rsid w:val="00ED19BB"/>
    <w:rsid w:val="00ED4EF5"/>
    <w:rsid w:val="00ED540C"/>
    <w:rsid w:val="00EE0B0A"/>
    <w:rsid w:val="00EE24D6"/>
    <w:rsid w:val="00EE4D2B"/>
    <w:rsid w:val="00EE4F8F"/>
    <w:rsid w:val="00EE57AB"/>
    <w:rsid w:val="00EF2086"/>
    <w:rsid w:val="00EF3453"/>
    <w:rsid w:val="00EF44BE"/>
    <w:rsid w:val="00EF4C0E"/>
    <w:rsid w:val="00EF65FF"/>
    <w:rsid w:val="00EF719F"/>
    <w:rsid w:val="00EF73D7"/>
    <w:rsid w:val="00F0268C"/>
    <w:rsid w:val="00F113C6"/>
    <w:rsid w:val="00F130AA"/>
    <w:rsid w:val="00F1353A"/>
    <w:rsid w:val="00F1483A"/>
    <w:rsid w:val="00F14A1A"/>
    <w:rsid w:val="00F21BEF"/>
    <w:rsid w:val="00F23A9A"/>
    <w:rsid w:val="00F25FA2"/>
    <w:rsid w:val="00F26C86"/>
    <w:rsid w:val="00F323CA"/>
    <w:rsid w:val="00F337F1"/>
    <w:rsid w:val="00F34434"/>
    <w:rsid w:val="00F350ED"/>
    <w:rsid w:val="00F36097"/>
    <w:rsid w:val="00F37D66"/>
    <w:rsid w:val="00F413AF"/>
    <w:rsid w:val="00F41B32"/>
    <w:rsid w:val="00F42CCC"/>
    <w:rsid w:val="00F43059"/>
    <w:rsid w:val="00F54552"/>
    <w:rsid w:val="00F65EA0"/>
    <w:rsid w:val="00F6612A"/>
    <w:rsid w:val="00F73010"/>
    <w:rsid w:val="00F73FBF"/>
    <w:rsid w:val="00F761A9"/>
    <w:rsid w:val="00F76E1F"/>
    <w:rsid w:val="00F80DAC"/>
    <w:rsid w:val="00F828DB"/>
    <w:rsid w:val="00F82BAD"/>
    <w:rsid w:val="00F82FC9"/>
    <w:rsid w:val="00F84341"/>
    <w:rsid w:val="00F85820"/>
    <w:rsid w:val="00F86BDA"/>
    <w:rsid w:val="00F911D8"/>
    <w:rsid w:val="00F91C91"/>
    <w:rsid w:val="00F930A4"/>
    <w:rsid w:val="00FA09B0"/>
    <w:rsid w:val="00FA1AEB"/>
    <w:rsid w:val="00FA25A0"/>
    <w:rsid w:val="00FA278D"/>
    <w:rsid w:val="00FA578C"/>
    <w:rsid w:val="00FA747F"/>
    <w:rsid w:val="00FB0D00"/>
    <w:rsid w:val="00FB3A66"/>
    <w:rsid w:val="00FB6915"/>
    <w:rsid w:val="00FC4F58"/>
    <w:rsid w:val="00FD1512"/>
    <w:rsid w:val="00FD2572"/>
    <w:rsid w:val="00FD2D60"/>
    <w:rsid w:val="00FD3582"/>
    <w:rsid w:val="00FD4830"/>
    <w:rsid w:val="00FE24D0"/>
    <w:rsid w:val="00FE4466"/>
    <w:rsid w:val="00FE68E0"/>
    <w:rsid w:val="00FE6DA4"/>
    <w:rsid w:val="00FE7C25"/>
    <w:rsid w:val="00FF08EF"/>
    <w:rsid w:val="00FF171D"/>
    <w:rsid w:val="00FF21E6"/>
    <w:rsid w:val="00FF2817"/>
    <w:rsid w:val="00FF3E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宋体"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5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6FB2"/>
    <w:pPr>
      <w:widowControl w:val="0"/>
      <w:jc w:val="both"/>
    </w:pPr>
    <w:rPr>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4A6FB2"/>
    <w:rPr>
      <w:vertAlign w:val="superscript"/>
    </w:rPr>
  </w:style>
  <w:style w:type="character" w:customStyle="1" w:styleId="Char">
    <w:name w:val="页眉 Char"/>
    <w:rsid w:val="004A6FB2"/>
    <w:rPr>
      <w:sz w:val="18"/>
    </w:rPr>
  </w:style>
  <w:style w:type="character" w:styleId="a4">
    <w:name w:val="page number"/>
    <w:basedOn w:val="a0"/>
    <w:rsid w:val="004A6FB2"/>
  </w:style>
  <w:style w:type="character" w:customStyle="1" w:styleId="Char0">
    <w:name w:val="页脚 Char"/>
    <w:rsid w:val="004A6FB2"/>
    <w:rPr>
      <w:sz w:val="18"/>
    </w:rPr>
  </w:style>
  <w:style w:type="character" w:customStyle="1" w:styleId="Char1">
    <w:name w:val="批注框文本 Char"/>
    <w:rsid w:val="004A6FB2"/>
    <w:rPr>
      <w:sz w:val="18"/>
    </w:rPr>
  </w:style>
  <w:style w:type="character" w:customStyle="1" w:styleId="Char2">
    <w:name w:val="脚注文本 Char"/>
    <w:uiPriority w:val="99"/>
    <w:rsid w:val="004A6FB2"/>
    <w:rPr>
      <w:sz w:val="18"/>
    </w:rPr>
  </w:style>
  <w:style w:type="paragraph" w:styleId="a5">
    <w:name w:val="Document Map"/>
    <w:basedOn w:val="a"/>
    <w:rsid w:val="004A6FB2"/>
    <w:pPr>
      <w:shd w:val="clear" w:color="auto" w:fill="000080"/>
    </w:pPr>
  </w:style>
  <w:style w:type="paragraph" w:styleId="a6">
    <w:name w:val="Balloon Text"/>
    <w:basedOn w:val="a"/>
    <w:rsid w:val="004A6FB2"/>
    <w:rPr>
      <w:sz w:val="18"/>
    </w:rPr>
  </w:style>
  <w:style w:type="paragraph" w:styleId="a7">
    <w:name w:val="header"/>
    <w:basedOn w:val="a"/>
    <w:rsid w:val="004A6FB2"/>
    <w:pPr>
      <w:pBdr>
        <w:bottom w:val="single" w:sz="6" w:space="1" w:color="auto"/>
      </w:pBdr>
      <w:tabs>
        <w:tab w:val="center" w:pos="4153"/>
        <w:tab w:val="right" w:pos="8306"/>
      </w:tabs>
      <w:snapToGrid w:val="0"/>
      <w:jc w:val="center"/>
    </w:pPr>
    <w:rPr>
      <w:sz w:val="18"/>
    </w:rPr>
  </w:style>
  <w:style w:type="paragraph" w:styleId="a8">
    <w:name w:val="footer"/>
    <w:basedOn w:val="a"/>
    <w:rsid w:val="004A6FB2"/>
    <w:pPr>
      <w:tabs>
        <w:tab w:val="center" w:pos="4153"/>
        <w:tab w:val="right" w:pos="8306"/>
      </w:tabs>
      <w:snapToGrid w:val="0"/>
      <w:jc w:val="left"/>
    </w:pPr>
    <w:rPr>
      <w:sz w:val="18"/>
    </w:rPr>
  </w:style>
  <w:style w:type="paragraph" w:styleId="a9">
    <w:name w:val="footnote text"/>
    <w:basedOn w:val="a"/>
    <w:uiPriority w:val="99"/>
    <w:rsid w:val="004A6FB2"/>
    <w:pPr>
      <w:snapToGrid w:val="0"/>
      <w:jc w:val="left"/>
    </w:pPr>
    <w:rPr>
      <w:sz w:val="18"/>
    </w:rPr>
  </w:style>
  <w:style w:type="paragraph" w:customStyle="1" w:styleId="Char3">
    <w:name w:val="Char"/>
    <w:basedOn w:val="a"/>
    <w:rsid w:val="004A6FB2"/>
    <w:pPr>
      <w:spacing w:line="240" w:lineRule="atLeast"/>
      <w:ind w:left="420" w:firstLine="420"/>
    </w:pPr>
    <w:rPr>
      <w:rFonts w:eastAsia="宋体"/>
      <w:kern w:val="0"/>
      <w:sz w:val="21"/>
    </w:rPr>
  </w:style>
  <w:style w:type="paragraph" w:customStyle="1" w:styleId="DecimalAligned">
    <w:name w:val="Decimal Aligned"/>
    <w:basedOn w:val="a"/>
    <w:uiPriority w:val="40"/>
    <w:qFormat/>
    <w:rsid w:val="003F0982"/>
    <w:pPr>
      <w:widowControl/>
      <w:tabs>
        <w:tab w:val="decimal" w:pos="360"/>
      </w:tabs>
      <w:spacing w:after="200" w:line="276" w:lineRule="auto"/>
      <w:jc w:val="left"/>
    </w:pPr>
    <w:rPr>
      <w:rFonts w:ascii="Calibri" w:eastAsia="Calibri" w:hAnsi="Calibri"/>
      <w:kern w:val="0"/>
      <w:sz w:val="22"/>
      <w:szCs w:val="22"/>
    </w:rPr>
  </w:style>
  <w:style w:type="character" w:styleId="aa">
    <w:name w:val="Subtle Emphasis"/>
    <w:uiPriority w:val="19"/>
    <w:qFormat/>
    <w:rsid w:val="003F0982"/>
    <w:rPr>
      <w:i/>
      <w:iCs/>
      <w:color w:val="000000"/>
    </w:rPr>
  </w:style>
  <w:style w:type="table" w:customStyle="1" w:styleId="-11">
    <w:name w:val="浅色底纹 - 强调文字颜色 11"/>
    <w:basedOn w:val="a1"/>
    <w:uiPriority w:val="60"/>
    <w:rsid w:val="003F0982"/>
    <w:rPr>
      <w:rFonts w:ascii="Calibri" w:eastAsia="宋体" w:hAnsi="Calibri"/>
      <w:color w:val="4F81BD"/>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1">
    <w:name w:val="Medium List 2 Accent 1"/>
    <w:basedOn w:val="a1"/>
    <w:uiPriority w:val="66"/>
    <w:rsid w:val="003F0982"/>
    <w:rPr>
      <w:rFonts w:ascii="Cambria" w:eastAsia="宋体" w:hAnsi="Cambria"/>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ab">
    <w:name w:val="Table Grid"/>
    <w:basedOn w:val="a1"/>
    <w:uiPriority w:val="59"/>
    <w:unhideWhenUsed/>
    <w:rsid w:val="008C15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589180">
      <w:bodyDiv w:val="1"/>
      <w:marLeft w:val="0"/>
      <w:marRight w:val="0"/>
      <w:marTop w:val="0"/>
      <w:marBottom w:val="0"/>
      <w:divBdr>
        <w:top w:val="none" w:sz="0" w:space="0" w:color="auto"/>
        <w:left w:val="none" w:sz="0" w:space="0" w:color="auto"/>
        <w:bottom w:val="none" w:sz="0" w:space="0" w:color="auto"/>
        <w:right w:val="none" w:sz="0" w:space="0" w:color="auto"/>
      </w:divBdr>
    </w:div>
    <w:div w:id="331875158">
      <w:bodyDiv w:val="1"/>
      <w:marLeft w:val="0"/>
      <w:marRight w:val="0"/>
      <w:marTop w:val="0"/>
      <w:marBottom w:val="0"/>
      <w:divBdr>
        <w:top w:val="none" w:sz="0" w:space="0" w:color="auto"/>
        <w:left w:val="none" w:sz="0" w:space="0" w:color="auto"/>
        <w:bottom w:val="none" w:sz="0" w:space="0" w:color="auto"/>
        <w:right w:val="none" w:sz="0" w:space="0" w:color="auto"/>
      </w:divBdr>
    </w:div>
    <w:div w:id="1275283040">
      <w:bodyDiv w:val="1"/>
      <w:marLeft w:val="0"/>
      <w:marRight w:val="0"/>
      <w:marTop w:val="0"/>
      <w:marBottom w:val="0"/>
      <w:divBdr>
        <w:top w:val="none" w:sz="0" w:space="0" w:color="auto"/>
        <w:left w:val="none" w:sz="0" w:space="0" w:color="auto"/>
        <w:bottom w:val="none" w:sz="0" w:space="0" w:color="auto"/>
        <w:right w:val="none" w:sz="0" w:space="0" w:color="auto"/>
      </w:divBdr>
    </w:div>
    <w:div w:id="1738892434">
      <w:bodyDiv w:val="1"/>
      <w:marLeft w:val="0"/>
      <w:marRight w:val="0"/>
      <w:marTop w:val="0"/>
      <w:marBottom w:val="0"/>
      <w:divBdr>
        <w:top w:val="none" w:sz="0" w:space="0" w:color="auto"/>
        <w:left w:val="none" w:sz="0" w:space="0" w:color="auto"/>
        <w:bottom w:val="none" w:sz="0" w:space="0" w:color="auto"/>
        <w:right w:val="none" w:sz="0" w:space="0" w:color="auto"/>
      </w:divBdr>
    </w:div>
    <w:div w:id="200272965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___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___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___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style val="10"/>
  <c:chart>
    <c:title>
      <c:tx>
        <c:rich>
          <a:bodyPr/>
          <a:lstStyle/>
          <a:p>
            <a:pPr>
              <a:defRPr sz="1400" b="1">
                <a:latin typeface="仿宋" pitchFamily="49" charset="-122"/>
                <a:ea typeface="仿宋" pitchFamily="49" charset="-122"/>
              </a:defRPr>
            </a:pPr>
            <a:r>
              <a:rPr lang="zh-CN" altLang="en-US" sz="1400">
                <a:latin typeface="仿宋" pitchFamily="49" charset="-122"/>
                <a:ea typeface="仿宋" pitchFamily="49" charset="-122"/>
              </a:rPr>
              <a:t>图表</a:t>
            </a:r>
            <a:r>
              <a:rPr lang="en-US" altLang="zh-CN" sz="1400">
                <a:latin typeface="仿宋" pitchFamily="49" charset="-122"/>
                <a:ea typeface="仿宋" pitchFamily="49" charset="-122"/>
              </a:rPr>
              <a:t>1   </a:t>
            </a:r>
            <a:r>
              <a:rPr lang="zh-CN" altLang="en-US" sz="1400">
                <a:latin typeface="仿宋" pitchFamily="49" charset="-122"/>
                <a:ea typeface="仿宋" pitchFamily="49" charset="-122"/>
              </a:rPr>
              <a:t>全院受理案件构成情况对比图</a:t>
            </a:r>
          </a:p>
        </c:rich>
      </c:tx>
    </c:title>
    <c:view3D>
      <c:rotX val="30"/>
      <c:perspective val="0"/>
    </c:view3D>
    <c:plotArea>
      <c:layout>
        <c:manualLayout>
          <c:layoutTarget val="inner"/>
          <c:xMode val="edge"/>
          <c:yMode val="edge"/>
          <c:x val="0.18940609951845994"/>
          <c:y val="0.22871046228710532"/>
          <c:w val="0.5521669341894061"/>
          <c:h val="0.52311435523114358"/>
        </c:manualLayout>
      </c:layout>
      <c:pie3DChart>
        <c:varyColors val="1"/>
        <c:ser>
          <c:idx val="0"/>
          <c:order val="0"/>
          <c:tx>
            <c:strRef>
              <c:f>Sheet1!$B$1</c:f>
              <c:strCache>
                <c:ptCount val="1"/>
                <c:pt idx="0">
                  <c:v>图表1   全院受理案件构成情况对比图</c:v>
                </c:pt>
              </c:strCache>
            </c:strRef>
          </c:tx>
          <c:explosion val="8"/>
          <c:dPt>
            <c:idx val="2"/>
            <c:explosion val="10"/>
          </c:dPt>
          <c:dLbls>
            <c:dLbl>
              <c:idx val="0"/>
              <c:layout>
                <c:manualLayout>
                  <c:x val="-5.5011402360723584E-2"/>
                  <c:y val="2.1896745099188159E-3"/>
                </c:manualLayout>
              </c:layout>
              <c:tx>
                <c:rich>
                  <a:bodyPr/>
                  <a:lstStyle/>
                  <a:p>
                    <a:r>
                      <a:rPr lang="zh-CN" altLang="en-US" sz="900">
                        <a:latin typeface="仿宋" pitchFamily="49" charset="-122"/>
                        <a:ea typeface="仿宋" pitchFamily="49" charset="-122"/>
                      </a:rPr>
                      <a:t>刑事受理</a:t>
                    </a:r>
                    <a:r>
                      <a:rPr lang="en-US" altLang="zh-CN" sz="900">
                        <a:latin typeface="仿宋" pitchFamily="49" charset="-122"/>
                        <a:ea typeface="仿宋" pitchFamily="49" charset="-122"/>
                      </a:rPr>
                      <a:t>67</a:t>
                    </a:r>
                    <a:r>
                      <a:rPr lang="zh-CN" altLang="en-US" sz="900">
                        <a:latin typeface="仿宋" pitchFamily="49" charset="-122"/>
                        <a:ea typeface="仿宋" pitchFamily="49" charset="-122"/>
                      </a:rPr>
                      <a:t>件</a:t>
                    </a:r>
                    <a:r>
                      <a:rPr lang="en-US" altLang="zh-CN" sz="900">
                        <a:latin typeface="仿宋" pitchFamily="49" charset="-122"/>
                        <a:ea typeface="仿宋" pitchFamily="49" charset="-122"/>
                      </a:rPr>
                      <a:t>, </a:t>
                    </a:r>
                    <a:r>
                      <a:rPr lang="zh-CN" altLang="en-US" sz="900">
                        <a:latin typeface="仿宋" pitchFamily="49" charset="-122"/>
                        <a:ea typeface="仿宋" pitchFamily="49" charset="-122"/>
                      </a:rPr>
                      <a:t>占比</a:t>
                    </a:r>
                    <a:r>
                      <a:rPr lang="en-US" altLang="zh-CN" sz="900">
                        <a:latin typeface="仿宋" pitchFamily="49" charset="-122"/>
                        <a:ea typeface="仿宋" pitchFamily="49" charset="-122"/>
                      </a:rPr>
                      <a:t>4.63%</a:t>
                    </a:r>
                    <a:endParaRPr lang="zh-CN" altLang="en-US" sz="900">
                      <a:latin typeface="仿宋" pitchFamily="49" charset="-122"/>
                      <a:ea typeface="仿宋" pitchFamily="49" charset="-122"/>
                    </a:endParaRPr>
                  </a:p>
                </c:rich>
              </c:tx>
              <c:dLblPos val="bestFit"/>
            </c:dLbl>
            <c:dLbl>
              <c:idx val="1"/>
              <c:layout>
                <c:manualLayout>
                  <c:x val="4.405351395177854E-2"/>
                  <c:y val="6.5598358853461713E-2"/>
                </c:manualLayout>
              </c:layout>
              <c:tx>
                <c:rich>
                  <a:bodyPr/>
                  <a:lstStyle/>
                  <a:p>
                    <a:r>
                      <a:rPr lang="zh-CN" altLang="en-US">
                        <a:latin typeface="仿宋" pitchFamily="49" charset="-122"/>
                        <a:ea typeface="仿宋" pitchFamily="49" charset="-122"/>
                      </a:rPr>
                      <a:t>刑罚变更受理</a:t>
                    </a:r>
                    <a:r>
                      <a:rPr lang="en-US" altLang="zh-CN">
                        <a:latin typeface="仿宋" pitchFamily="49" charset="-122"/>
                        <a:ea typeface="仿宋" pitchFamily="49" charset="-122"/>
                      </a:rPr>
                      <a:t>3</a:t>
                    </a:r>
                    <a:r>
                      <a:rPr lang="zh-CN" altLang="en-US">
                        <a:latin typeface="仿宋" pitchFamily="49" charset="-122"/>
                        <a:ea typeface="仿宋" pitchFamily="49" charset="-122"/>
                      </a:rPr>
                      <a:t>件</a:t>
                    </a:r>
                    <a:r>
                      <a:rPr lang="en-US" altLang="zh-CN">
                        <a:latin typeface="仿宋" pitchFamily="49" charset="-122"/>
                        <a:ea typeface="仿宋" pitchFamily="49" charset="-122"/>
                      </a:rPr>
                      <a:t>, </a:t>
                    </a:r>
                    <a:r>
                      <a:rPr lang="zh-CN" altLang="en-US">
                        <a:latin typeface="仿宋" pitchFamily="49" charset="-122"/>
                        <a:ea typeface="仿宋" pitchFamily="49" charset="-122"/>
                      </a:rPr>
                      <a:t>占比</a:t>
                    </a:r>
                    <a:r>
                      <a:rPr lang="en-US" altLang="zh-CN">
                        <a:latin typeface="仿宋" pitchFamily="49" charset="-122"/>
                        <a:ea typeface="仿宋" pitchFamily="49" charset="-122"/>
                      </a:rPr>
                      <a:t>0.21%</a:t>
                    </a:r>
                  </a:p>
                </c:rich>
              </c:tx>
              <c:dLblPos val="bestFit"/>
            </c:dLbl>
            <c:dLbl>
              <c:idx val="2"/>
              <c:layout>
                <c:manualLayout>
                  <c:x val="-0.20588308851803191"/>
                  <c:y val="-0.14534199228522382"/>
                </c:manualLayout>
              </c:layout>
              <c:tx>
                <c:rich>
                  <a:bodyPr/>
                  <a:lstStyle/>
                  <a:p>
                    <a:r>
                      <a:rPr lang="zh-CN" altLang="en-US" sz="900">
                        <a:latin typeface="仿宋" pitchFamily="49" charset="-122"/>
                        <a:ea typeface="仿宋" pitchFamily="49" charset="-122"/>
                      </a:rPr>
                      <a:t>民事受理</a:t>
                    </a:r>
                    <a:r>
                      <a:rPr lang="en-US" altLang="zh-CN" sz="900">
                        <a:latin typeface="仿宋" pitchFamily="49" charset="-122"/>
                        <a:ea typeface="仿宋" pitchFamily="49" charset="-122"/>
                      </a:rPr>
                      <a:t> 842</a:t>
                    </a:r>
                    <a:r>
                      <a:rPr lang="zh-CN" altLang="en-US" sz="900">
                        <a:latin typeface="仿宋" pitchFamily="49" charset="-122"/>
                        <a:ea typeface="仿宋" pitchFamily="49" charset="-122"/>
                      </a:rPr>
                      <a:t>件</a:t>
                    </a:r>
                    <a:r>
                      <a:rPr lang="en-US" altLang="zh-CN" sz="900">
                        <a:latin typeface="仿宋" pitchFamily="49" charset="-122"/>
                        <a:ea typeface="仿宋" pitchFamily="49" charset="-122"/>
                      </a:rPr>
                      <a:t>,</a:t>
                    </a:r>
                    <a:r>
                      <a:rPr lang="zh-CN" altLang="en-US" sz="900">
                        <a:latin typeface="仿宋" pitchFamily="49" charset="-122"/>
                        <a:ea typeface="仿宋" pitchFamily="49" charset="-122"/>
                      </a:rPr>
                      <a:t>占比</a:t>
                    </a:r>
                    <a:r>
                      <a:rPr lang="en-US" altLang="zh-CN" sz="900">
                        <a:latin typeface="仿宋" pitchFamily="49" charset="-122"/>
                        <a:ea typeface="仿宋" pitchFamily="49" charset="-122"/>
                      </a:rPr>
                      <a:t> 58.23%</a:t>
                    </a:r>
                    <a:endParaRPr lang="zh-CN" altLang="en-US" sz="900">
                      <a:latin typeface="仿宋" pitchFamily="49" charset="-122"/>
                      <a:ea typeface="仿宋" pitchFamily="49" charset="-122"/>
                    </a:endParaRPr>
                  </a:p>
                </c:rich>
              </c:tx>
              <c:dLblPos val="bestFit"/>
            </c:dLbl>
            <c:dLbl>
              <c:idx val="3"/>
              <c:layout>
                <c:manualLayout>
                  <c:x val="4.7288580960071304E-2"/>
                  <c:y val="5.4663639769245327E-2"/>
                </c:manualLayout>
              </c:layout>
              <c:tx>
                <c:rich>
                  <a:bodyPr/>
                  <a:lstStyle/>
                  <a:p>
                    <a:r>
                      <a:rPr lang="zh-CN" altLang="en-US" sz="900">
                        <a:latin typeface="仿宋" pitchFamily="49" charset="-122"/>
                        <a:ea typeface="仿宋" pitchFamily="49" charset="-122"/>
                      </a:rPr>
                      <a:t>行政受理</a:t>
                    </a:r>
                    <a:r>
                      <a:rPr lang="en-US" altLang="zh-CN" sz="900">
                        <a:latin typeface="仿宋" pitchFamily="49" charset="-122"/>
                        <a:ea typeface="仿宋" pitchFamily="49" charset="-122"/>
                      </a:rPr>
                      <a:t>27</a:t>
                    </a:r>
                    <a:r>
                      <a:rPr lang="zh-CN" altLang="en-US" sz="900">
                        <a:latin typeface="仿宋" pitchFamily="49" charset="-122"/>
                        <a:ea typeface="仿宋" pitchFamily="49" charset="-122"/>
                      </a:rPr>
                      <a:t>件</a:t>
                    </a:r>
                    <a:r>
                      <a:rPr lang="en-US" altLang="zh-CN" sz="900">
                        <a:latin typeface="仿宋" pitchFamily="49" charset="-122"/>
                        <a:ea typeface="仿宋" pitchFamily="49" charset="-122"/>
                      </a:rPr>
                      <a:t>,</a:t>
                    </a:r>
                    <a:r>
                      <a:rPr lang="zh-CN" altLang="en-US" sz="900">
                        <a:latin typeface="仿宋" pitchFamily="49" charset="-122"/>
                        <a:ea typeface="仿宋" pitchFamily="49" charset="-122"/>
                      </a:rPr>
                      <a:t>占比</a:t>
                    </a:r>
                    <a:r>
                      <a:rPr lang="en-US" altLang="zh-CN" sz="900">
                        <a:latin typeface="仿宋" pitchFamily="49" charset="-122"/>
                        <a:ea typeface="仿宋" pitchFamily="49" charset="-122"/>
                      </a:rPr>
                      <a:t> 1.87%</a:t>
                    </a:r>
                    <a:endParaRPr lang="zh-CN" altLang="en-US" sz="900">
                      <a:latin typeface="仿宋" pitchFamily="49" charset="-122"/>
                      <a:ea typeface="仿宋" pitchFamily="49" charset="-122"/>
                    </a:endParaRPr>
                  </a:p>
                </c:rich>
              </c:tx>
              <c:dLblPos val="bestFit"/>
            </c:dLbl>
            <c:dLbl>
              <c:idx val="4"/>
              <c:layout>
                <c:manualLayout>
                  <c:x val="-3.1257235087972422E-2"/>
                  <c:y val="-4.9908251557135318E-2"/>
                </c:manualLayout>
              </c:layout>
              <c:tx>
                <c:rich>
                  <a:bodyPr/>
                  <a:lstStyle/>
                  <a:p>
                    <a:r>
                      <a:rPr lang="zh-CN" altLang="en-US">
                        <a:latin typeface="仿宋" pitchFamily="49" charset="-122"/>
                        <a:ea typeface="仿宋" pitchFamily="49" charset="-122"/>
                      </a:rPr>
                      <a:t>赔偿受理</a:t>
                    </a:r>
                    <a:r>
                      <a:rPr lang="en-US" altLang="zh-CN">
                        <a:latin typeface="仿宋" pitchFamily="49" charset="-122"/>
                        <a:ea typeface="仿宋" pitchFamily="49" charset="-122"/>
                      </a:rPr>
                      <a:t>3</a:t>
                    </a:r>
                    <a:r>
                      <a:rPr lang="zh-CN" altLang="en-US">
                        <a:latin typeface="仿宋" pitchFamily="49" charset="-122"/>
                        <a:ea typeface="仿宋" pitchFamily="49" charset="-122"/>
                      </a:rPr>
                      <a:t>件</a:t>
                    </a:r>
                    <a:r>
                      <a:rPr lang="en-US" altLang="zh-CN">
                        <a:latin typeface="仿宋" pitchFamily="49" charset="-122"/>
                        <a:ea typeface="仿宋" pitchFamily="49" charset="-122"/>
                      </a:rPr>
                      <a:t>, </a:t>
                    </a:r>
                    <a:r>
                      <a:rPr lang="zh-CN" altLang="en-US">
                        <a:latin typeface="仿宋" pitchFamily="49" charset="-122"/>
                        <a:ea typeface="仿宋" pitchFamily="49" charset="-122"/>
                      </a:rPr>
                      <a:t>占比</a:t>
                    </a:r>
                    <a:r>
                      <a:rPr lang="en-US" altLang="zh-CN">
                        <a:latin typeface="仿宋" pitchFamily="49" charset="-122"/>
                        <a:ea typeface="仿宋" pitchFamily="49" charset="-122"/>
                      </a:rPr>
                      <a:t>0.21%</a:t>
                    </a:r>
                    <a:endParaRPr lang="zh-CN" altLang="en-US">
                      <a:latin typeface="仿宋" pitchFamily="49" charset="-122"/>
                      <a:ea typeface="仿宋" pitchFamily="49" charset="-122"/>
                    </a:endParaRPr>
                  </a:p>
                </c:rich>
              </c:tx>
              <c:dLblPos val="bestFit"/>
            </c:dLbl>
            <c:dLbl>
              <c:idx val="5"/>
              <c:tx>
                <c:rich>
                  <a:bodyPr/>
                  <a:lstStyle/>
                  <a:p>
                    <a:r>
                      <a:rPr lang="zh-CN" altLang="en-US">
                        <a:latin typeface="仿宋" pitchFamily="49" charset="-122"/>
                        <a:ea typeface="仿宋" pitchFamily="49" charset="-122"/>
                      </a:rPr>
                      <a:t>执行受理</a:t>
                    </a:r>
                    <a:r>
                      <a:rPr lang="en-US" altLang="zh-CN">
                        <a:latin typeface="仿宋" pitchFamily="49" charset="-122"/>
                        <a:ea typeface="仿宋" pitchFamily="49" charset="-122"/>
                      </a:rPr>
                      <a:t>502</a:t>
                    </a:r>
                    <a:r>
                      <a:rPr lang="zh-CN" altLang="en-US">
                        <a:latin typeface="仿宋" pitchFamily="49" charset="-122"/>
                        <a:ea typeface="仿宋" pitchFamily="49" charset="-122"/>
                      </a:rPr>
                      <a:t>件</a:t>
                    </a:r>
                    <a:r>
                      <a:rPr lang="en-US" altLang="zh-CN">
                        <a:latin typeface="仿宋" pitchFamily="49" charset="-122"/>
                        <a:ea typeface="仿宋" pitchFamily="49" charset="-122"/>
                      </a:rPr>
                      <a:t>, </a:t>
                    </a:r>
                    <a:r>
                      <a:rPr lang="zh-CN" altLang="en-US">
                        <a:latin typeface="仿宋" pitchFamily="49" charset="-122"/>
                        <a:ea typeface="仿宋" pitchFamily="49" charset="-122"/>
                      </a:rPr>
                      <a:t>占比</a:t>
                    </a:r>
                    <a:r>
                      <a:rPr lang="en-US" altLang="zh-CN">
                        <a:latin typeface="仿宋" pitchFamily="49" charset="-122"/>
                        <a:ea typeface="仿宋" pitchFamily="49" charset="-122"/>
                      </a:rPr>
                      <a:t>34.72%</a:t>
                    </a:r>
                  </a:p>
                </c:rich>
              </c:tx>
              <c:dLblPos val="bestFit"/>
            </c:dLbl>
            <c:dLbl>
              <c:idx val="6"/>
              <c:layout>
                <c:manualLayout>
                  <c:x val="-0.10236434629560739"/>
                  <c:y val="1.9300595547093027E-2"/>
                </c:manualLayout>
              </c:layout>
              <c:tx>
                <c:rich>
                  <a:bodyPr/>
                  <a:lstStyle/>
                  <a:p>
                    <a:r>
                      <a:rPr lang="zh-CN" altLang="en-US" sz="900">
                        <a:latin typeface="仿宋" pitchFamily="49" charset="-122"/>
                        <a:ea typeface="仿宋" pitchFamily="49" charset="-122"/>
                      </a:rPr>
                      <a:t>审查监督受理</a:t>
                    </a:r>
                    <a:r>
                      <a:rPr lang="en-US" altLang="zh-CN" sz="900">
                        <a:latin typeface="仿宋" pitchFamily="49" charset="-122"/>
                        <a:ea typeface="仿宋" pitchFamily="49" charset="-122"/>
                      </a:rPr>
                      <a:t>2</a:t>
                    </a:r>
                    <a:r>
                      <a:rPr lang="zh-CN" altLang="en-US" sz="900">
                        <a:latin typeface="仿宋" pitchFamily="49" charset="-122"/>
                        <a:ea typeface="仿宋" pitchFamily="49" charset="-122"/>
                      </a:rPr>
                      <a:t>件</a:t>
                    </a:r>
                    <a:r>
                      <a:rPr lang="en-US" altLang="zh-CN" sz="900">
                        <a:latin typeface="仿宋" pitchFamily="49" charset="-122"/>
                        <a:ea typeface="仿宋" pitchFamily="49" charset="-122"/>
                      </a:rPr>
                      <a:t>, </a:t>
                    </a:r>
                    <a:r>
                      <a:rPr lang="zh-CN" altLang="en-US" sz="900">
                        <a:latin typeface="仿宋" pitchFamily="49" charset="-122"/>
                        <a:ea typeface="仿宋" pitchFamily="49" charset="-122"/>
                      </a:rPr>
                      <a:t>占比</a:t>
                    </a:r>
                    <a:r>
                      <a:rPr lang="en-US" altLang="zh-CN" sz="900">
                        <a:latin typeface="仿宋" pitchFamily="49" charset="-122"/>
                        <a:ea typeface="仿宋" pitchFamily="49" charset="-122"/>
                      </a:rPr>
                      <a:t>0.14%</a:t>
                    </a:r>
                    <a:endParaRPr lang="zh-CN" altLang="en-US" sz="900">
                      <a:latin typeface="仿宋" pitchFamily="49" charset="-122"/>
                      <a:ea typeface="仿宋" pitchFamily="49" charset="-122"/>
                    </a:endParaRPr>
                  </a:p>
                </c:rich>
              </c:tx>
              <c:dLblPos val="bestFit"/>
            </c:dLbl>
            <c:numFmt formatCode="0.00%" sourceLinked="0"/>
            <c:txPr>
              <a:bodyPr/>
              <a:lstStyle/>
              <a:p>
                <a:pPr>
                  <a:defRPr sz="900">
                    <a:latin typeface="仿宋" pitchFamily="49" charset="-122"/>
                    <a:ea typeface="仿宋" pitchFamily="49" charset="-122"/>
                  </a:defRPr>
                </a:pPr>
                <a:endParaRPr lang="zh-CN"/>
              </a:p>
            </c:txPr>
            <c:dLblPos val="bestFit"/>
            <c:showVal val="1"/>
            <c:showCatName val="1"/>
            <c:showPercent val="1"/>
            <c:showLeaderLines val="1"/>
          </c:dLbls>
          <c:cat>
            <c:strRef>
              <c:f>Sheet1!$A$2:$A$8</c:f>
              <c:strCache>
                <c:ptCount val="7"/>
                <c:pt idx="0">
                  <c:v>刑事</c:v>
                </c:pt>
                <c:pt idx="1">
                  <c:v>刑罚变更</c:v>
                </c:pt>
                <c:pt idx="2">
                  <c:v>民事</c:v>
                </c:pt>
                <c:pt idx="3">
                  <c:v>行政</c:v>
                </c:pt>
                <c:pt idx="4">
                  <c:v>赔偿</c:v>
                </c:pt>
                <c:pt idx="5">
                  <c:v>执行</c:v>
                </c:pt>
                <c:pt idx="6">
                  <c:v>审查监督</c:v>
                </c:pt>
              </c:strCache>
            </c:strRef>
          </c:cat>
          <c:val>
            <c:numRef>
              <c:f>Sheet1!$B$2:$B$8</c:f>
              <c:numCache>
                <c:formatCode>General</c:formatCode>
                <c:ptCount val="7"/>
                <c:pt idx="0">
                  <c:v>67</c:v>
                </c:pt>
                <c:pt idx="1">
                  <c:v>3</c:v>
                </c:pt>
                <c:pt idx="2">
                  <c:v>842</c:v>
                </c:pt>
                <c:pt idx="3">
                  <c:v>27</c:v>
                </c:pt>
                <c:pt idx="4">
                  <c:v>3</c:v>
                </c:pt>
                <c:pt idx="5">
                  <c:v>502</c:v>
                </c:pt>
                <c:pt idx="6">
                  <c:v>2</c:v>
                </c:pt>
              </c:numCache>
            </c:numRef>
          </c:val>
        </c:ser>
        <c:dLbls>
          <c:showCatName val="1"/>
          <c:showPercent val="1"/>
        </c:dLbls>
      </c:pie3DChart>
      <c:spPr>
        <a:noFill/>
        <a:ln w="25404">
          <a:noFill/>
        </a:ln>
      </c:spPr>
    </c:plotArea>
    <c:plotVisOnly val="1"/>
    <c:dispBlanksAs val="zero"/>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376" b="1" i="0" u="none" strike="noStrike" baseline="0">
                <a:solidFill>
                  <a:srgbClr val="000000"/>
                </a:solidFill>
                <a:latin typeface="仿宋"/>
                <a:ea typeface="仿宋"/>
                <a:cs typeface="仿宋"/>
              </a:defRPr>
            </a:pPr>
            <a:r>
              <a:rPr lang="zh-CN" altLang="en-US"/>
              <a:t>图表</a:t>
            </a:r>
            <a:r>
              <a:rPr lang="en-US" altLang="zh-CN"/>
              <a:t>10 </a:t>
            </a:r>
            <a:r>
              <a:rPr lang="zh-CN" altLang="en-US"/>
              <a:t>和龙法院被发回、改判案件分布图（同比）</a:t>
            </a:r>
          </a:p>
        </c:rich>
      </c:tx>
      <c:layout>
        <c:manualLayout>
          <c:xMode val="edge"/>
          <c:yMode val="edge"/>
          <c:x val="0.13787085514834205"/>
          <c:y val="3.7414965986394703E-2"/>
        </c:manualLayout>
      </c:layout>
      <c:spPr>
        <a:noFill/>
        <a:ln w="25412">
          <a:noFill/>
        </a:ln>
      </c:spPr>
    </c:title>
    <c:plotArea>
      <c:layout>
        <c:manualLayout>
          <c:layoutTarget val="inner"/>
          <c:xMode val="edge"/>
          <c:yMode val="edge"/>
          <c:x val="0.18324607329843001"/>
          <c:y val="0.35374149659863929"/>
          <c:w val="0.78883071553228623"/>
          <c:h val="0.40816326530612246"/>
        </c:manualLayout>
      </c:layout>
      <c:barChart>
        <c:barDir val="col"/>
        <c:grouping val="clustered"/>
        <c:ser>
          <c:idx val="0"/>
          <c:order val="0"/>
          <c:tx>
            <c:strRef>
              <c:f>Sheet1!$A$2</c:f>
              <c:strCache>
                <c:ptCount val="1"/>
                <c:pt idx="0">
                  <c:v>2017年上半年</c:v>
                </c:pt>
              </c:strCache>
            </c:strRef>
          </c:tx>
          <c:spPr>
            <a:solidFill>
              <a:srgbClr val="008080"/>
            </a:solidFill>
            <a:ln w="12706">
              <a:solidFill>
                <a:srgbClr val="000000"/>
              </a:solidFill>
              <a:prstDash val="solid"/>
            </a:ln>
          </c:spPr>
          <c:dLbls>
            <c:spPr>
              <a:noFill/>
              <a:ln w="25412">
                <a:noFill/>
              </a:ln>
            </c:spPr>
            <c:txPr>
              <a:bodyPr/>
              <a:lstStyle/>
              <a:p>
                <a:pPr>
                  <a:defRPr sz="800" b="0" i="0" u="none" strike="noStrike" baseline="0">
                    <a:solidFill>
                      <a:srgbClr val="000000"/>
                    </a:solidFill>
                    <a:latin typeface="宋体"/>
                    <a:ea typeface="宋体"/>
                    <a:cs typeface="宋体"/>
                  </a:defRPr>
                </a:pPr>
                <a:endParaRPr lang="zh-CN"/>
              </a:p>
            </c:txPr>
            <c:showVal val="1"/>
          </c:dLbls>
          <c:cat>
            <c:strRef>
              <c:f>Sheet1!$B$1:$F$1</c:f>
              <c:strCache>
                <c:ptCount val="5"/>
                <c:pt idx="0">
                  <c:v>刑庭</c:v>
                </c:pt>
                <c:pt idx="1">
                  <c:v>民一庭</c:v>
                </c:pt>
                <c:pt idx="2">
                  <c:v>民二庭</c:v>
                </c:pt>
                <c:pt idx="3">
                  <c:v>头道法庭</c:v>
                </c:pt>
                <c:pt idx="4">
                  <c:v>行政庭</c:v>
                </c:pt>
              </c:strCache>
            </c:strRef>
          </c:cat>
          <c:val>
            <c:numRef>
              <c:f>Sheet1!$B$2:$F$2</c:f>
              <c:numCache>
                <c:formatCode>General</c:formatCode>
                <c:ptCount val="5"/>
                <c:pt idx="0">
                  <c:v>4</c:v>
                </c:pt>
                <c:pt idx="1">
                  <c:v>7</c:v>
                </c:pt>
                <c:pt idx="2">
                  <c:v>4</c:v>
                </c:pt>
                <c:pt idx="3">
                  <c:v>2</c:v>
                </c:pt>
                <c:pt idx="4">
                  <c:v>0</c:v>
                </c:pt>
              </c:numCache>
            </c:numRef>
          </c:val>
        </c:ser>
        <c:ser>
          <c:idx val="1"/>
          <c:order val="1"/>
          <c:tx>
            <c:strRef>
              <c:f>Sheet1!$A$3</c:f>
              <c:strCache>
                <c:ptCount val="1"/>
                <c:pt idx="0">
                  <c:v>2016年上半年</c:v>
                </c:pt>
              </c:strCache>
            </c:strRef>
          </c:tx>
          <c:spPr>
            <a:solidFill>
              <a:srgbClr val="FF8080"/>
            </a:solidFill>
            <a:ln w="12706">
              <a:solidFill>
                <a:srgbClr val="000000"/>
              </a:solidFill>
              <a:prstDash val="solid"/>
            </a:ln>
          </c:spPr>
          <c:dLbls>
            <c:spPr>
              <a:noFill/>
              <a:ln w="25412">
                <a:noFill/>
              </a:ln>
            </c:spPr>
            <c:txPr>
              <a:bodyPr/>
              <a:lstStyle/>
              <a:p>
                <a:pPr>
                  <a:defRPr sz="800" b="0" i="0" u="none" strike="noStrike" baseline="0">
                    <a:solidFill>
                      <a:srgbClr val="000000"/>
                    </a:solidFill>
                    <a:latin typeface="宋体"/>
                    <a:ea typeface="宋体"/>
                    <a:cs typeface="宋体"/>
                  </a:defRPr>
                </a:pPr>
                <a:endParaRPr lang="zh-CN"/>
              </a:p>
            </c:txPr>
            <c:showVal val="1"/>
          </c:dLbls>
          <c:cat>
            <c:strRef>
              <c:f>Sheet1!$B$1:$F$1</c:f>
              <c:strCache>
                <c:ptCount val="5"/>
                <c:pt idx="0">
                  <c:v>刑庭</c:v>
                </c:pt>
                <c:pt idx="1">
                  <c:v>民一庭</c:v>
                </c:pt>
                <c:pt idx="2">
                  <c:v>民二庭</c:v>
                </c:pt>
                <c:pt idx="3">
                  <c:v>头道法庭</c:v>
                </c:pt>
                <c:pt idx="4">
                  <c:v>行政庭</c:v>
                </c:pt>
              </c:strCache>
            </c:strRef>
          </c:cat>
          <c:val>
            <c:numRef>
              <c:f>Sheet1!$B$3:$F$3</c:f>
              <c:numCache>
                <c:formatCode>General</c:formatCode>
                <c:ptCount val="5"/>
                <c:pt idx="0">
                  <c:v>2</c:v>
                </c:pt>
                <c:pt idx="1">
                  <c:v>7</c:v>
                </c:pt>
                <c:pt idx="2">
                  <c:v>11</c:v>
                </c:pt>
                <c:pt idx="3">
                  <c:v>5</c:v>
                </c:pt>
                <c:pt idx="4">
                  <c:v>0</c:v>
                </c:pt>
              </c:numCache>
            </c:numRef>
          </c:val>
        </c:ser>
        <c:axId val="352499968"/>
        <c:axId val="352505856"/>
      </c:barChart>
      <c:catAx>
        <c:axId val="352499968"/>
        <c:scaling>
          <c:orientation val="minMax"/>
        </c:scaling>
        <c:axPos val="b"/>
        <c:numFmt formatCode="General" sourceLinked="1"/>
        <c:majorTickMark val="in"/>
        <c:tickLblPos val="nextTo"/>
        <c:spPr>
          <a:ln w="3176">
            <a:solidFill>
              <a:srgbClr val="000000"/>
            </a:solidFill>
            <a:prstDash val="solid"/>
          </a:ln>
        </c:spPr>
        <c:txPr>
          <a:bodyPr rot="0" vert="horz"/>
          <a:lstStyle/>
          <a:p>
            <a:pPr>
              <a:defRPr sz="1451" b="0" i="0" u="none" strike="noStrike" baseline="0">
                <a:solidFill>
                  <a:srgbClr val="000000"/>
                </a:solidFill>
                <a:latin typeface="宋体"/>
                <a:ea typeface="宋体"/>
                <a:cs typeface="宋体"/>
              </a:defRPr>
            </a:pPr>
            <a:endParaRPr lang="zh-CN"/>
          </a:p>
        </c:txPr>
        <c:crossAx val="352505856"/>
        <c:crosses val="autoZero"/>
        <c:auto val="1"/>
        <c:lblAlgn val="ctr"/>
        <c:lblOffset val="100"/>
        <c:tickMarkSkip val="1"/>
      </c:catAx>
      <c:valAx>
        <c:axId val="352505856"/>
        <c:scaling>
          <c:orientation val="minMax"/>
        </c:scaling>
        <c:axPos val="l"/>
        <c:majorGridlines>
          <c:spPr>
            <a:ln w="3176">
              <a:solidFill>
                <a:srgbClr val="000000"/>
              </a:solidFill>
              <a:prstDash val="solid"/>
            </a:ln>
          </c:spPr>
        </c:majorGridlines>
        <c:minorGridlines>
          <c:spPr>
            <a:ln w="3176">
              <a:solidFill>
                <a:srgbClr val="000000"/>
              </a:solidFill>
              <a:prstDash val="solid"/>
            </a:ln>
          </c:spPr>
        </c:minorGridlines>
        <c:numFmt formatCode="General" sourceLinked="1"/>
        <c:majorTickMark val="in"/>
        <c:tickLblPos val="nextTo"/>
        <c:spPr>
          <a:ln w="3176">
            <a:solidFill>
              <a:srgbClr val="000000"/>
            </a:solidFill>
            <a:prstDash val="solid"/>
          </a:ln>
        </c:spPr>
        <c:txPr>
          <a:bodyPr rot="0" vert="horz"/>
          <a:lstStyle/>
          <a:p>
            <a:pPr>
              <a:defRPr sz="1451" b="0" i="0" u="none" strike="noStrike" baseline="0">
                <a:solidFill>
                  <a:srgbClr val="000000"/>
                </a:solidFill>
                <a:latin typeface="宋体"/>
                <a:ea typeface="宋体"/>
                <a:cs typeface="宋体"/>
              </a:defRPr>
            </a:pPr>
            <a:endParaRPr lang="zh-CN"/>
          </a:p>
        </c:txPr>
        <c:crossAx val="352499968"/>
        <c:crosses val="autoZero"/>
        <c:crossBetween val="between"/>
      </c:valAx>
      <c:dTable>
        <c:showHorzBorder val="1"/>
        <c:showVertBorder val="1"/>
        <c:showKeys val="1"/>
        <c:spPr>
          <a:ln w="3176">
            <a:solidFill>
              <a:srgbClr val="000000"/>
            </a:solidFill>
            <a:prstDash val="solid"/>
          </a:ln>
        </c:spPr>
        <c:txPr>
          <a:bodyPr/>
          <a:lstStyle/>
          <a:p>
            <a:pPr rtl="0">
              <a:defRPr sz="1000" b="0" i="0" u="none" strike="noStrike" baseline="0">
                <a:solidFill>
                  <a:srgbClr val="000000"/>
                </a:solidFill>
                <a:latin typeface="仿宋"/>
                <a:ea typeface="仿宋"/>
                <a:cs typeface="仿宋"/>
              </a:defRPr>
            </a:pPr>
            <a:endParaRPr lang="zh-CN"/>
          </a:p>
        </c:txPr>
      </c:dTable>
      <c:spPr>
        <a:solidFill>
          <a:srgbClr val="FFFFFF"/>
        </a:solidFill>
        <a:ln w="12706">
          <a:solidFill>
            <a:srgbClr val="000000"/>
          </a:solidFill>
          <a:prstDash val="solid"/>
        </a:ln>
      </c:spPr>
    </c:plotArea>
    <c:legend>
      <c:legendPos val="t"/>
      <c:legendEntry>
        <c:idx val="0"/>
        <c:txPr>
          <a:bodyPr/>
          <a:lstStyle/>
          <a:p>
            <a:pPr>
              <a:defRPr sz="825" b="0" i="0" u="none" strike="noStrike" baseline="0">
                <a:solidFill>
                  <a:srgbClr val="000000"/>
                </a:solidFill>
                <a:latin typeface="宋体"/>
                <a:ea typeface="宋体"/>
                <a:cs typeface="宋体"/>
              </a:defRPr>
            </a:pPr>
            <a:endParaRPr lang="zh-CN"/>
          </a:p>
        </c:txPr>
      </c:legendEntry>
      <c:legendEntry>
        <c:idx val="1"/>
        <c:txPr>
          <a:bodyPr/>
          <a:lstStyle/>
          <a:p>
            <a:pPr>
              <a:defRPr sz="825" b="0" i="0" u="none" strike="noStrike" baseline="0">
                <a:solidFill>
                  <a:srgbClr val="000000"/>
                </a:solidFill>
                <a:latin typeface="宋体"/>
                <a:ea typeface="宋体"/>
                <a:cs typeface="宋体"/>
              </a:defRPr>
            </a:pPr>
            <a:endParaRPr lang="zh-CN"/>
          </a:p>
        </c:txPr>
      </c:legendEntry>
      <c:layout>
        <c:manualLayout>
          <c:xMode val="edge"/>
          <c:yMode val="edge"/>
          <c:x val="0.28446771378708685"/>
          <c:y val="0.15986394557823219"/>
          <c:w val="0.47294938917975743"/>
          <c:h val="7.4829931972789129E-2"/>
        </c:manualLayout>
      </c:layout>
      <c:spPr>
        <a:solidFill>
          <a:srgbClr val="FFFFFF"/>
        </a:solidFill>
        <a:ln w="3176">
          <a:solidFill>
            <a:srgbClr val="000000"/>
          </a:solidFill>
          <a:prstDash val="solid"/>
        </a:ln>
      </c:spPr>
      <c:txPr>
        <a:bodyPr/>
        <a:lstStyle/>
        <a:p>
          <a:pPr>
            <a:defRPr sz="1426" b="0" i="0" u="none" strike="noStrike" baseline="0">
              <a:solidFill>
                <a:srgbClr val="000000"/>
              </a:solidFill>
              <a:latin typeface="宋体"/>
              <a:ea typeface="宋体"/>
              <a:cs typeface="宋体"/>
            </a:defRPr>
          </a:pPr>
          <a:endParaRPr lang="zh-CN"/>
        </a:p>
      </c:txPr>
    </c:legend>
    <c:plotVisOnly val="1"/>
    <c:dispBlanksAs val="gap"/>
  </c:chart>
  <c:spPr>
    <a:noFill/>
    <a:ln>
      <a:noFill/>
    </a:ln>
  </c:spPr>
  <c:txPr>
    <a:bodyPr/>
    <a:lstStyle/>
    <a:p>
      <a:pPr>
        <a:defRPr sz="1451" b="0" i="0" u="none" strike="noStrike" baseline="0">
          <a:solidFill>
            <a:srgbClr val="000000"/>
          </a:solidFill>
          <a:latin typeface="宋体"/>
          <a:ea typeface="宋体"/>
          <a:cs typeface="宋体"/>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401" b="1" i="0" u="none" strike="noStrike" baseline="0">
                <a:solidFill>
                  <a:srgbClr val="000000"/>
                </a:solidFill>
                <a:latin typeface="仿宋"/>
                <a:ea typeface="仿宋"/>
                <a:cs typeface="仿宋"/>
              </a:defRPr>
            </a:pPr>
            <a:r>
              <a:rPr lang="zh-CN" altLang="en-US"/>
              <a:t>图表</a:t>
            </a:r>
            <a:r>
              <a:rPr lang="en-US" altLang="zh-CN"/>
              <a:t>2 </a:t>
            </a:r>
            <a:r>
              <a:rPr lang="zh-CN" altLang="en-US"/>
              <a:t>和龙法院收结案件对比图</a:t>
            </a:r>
          </a:p>
        </c:rich>
      </c:tx>
      <c:layout>
        <c:manualLayout>
          <c:xMode val="edge"/>
          <c:yMode val="edge"/>
          <c:x val="0.25524475524475532"/>
          <c:y val="3.6734693877551045E-2"/>
        </c:manualLayout>
      </c:layout>
      <c:spPr>
        <a:noFill/>
        <a:ln w="25414">
          <a:noFill/>
        </a:ln>
      </c:spPr>
    </c:title>
    <c:plotArea>
      <c:layout>
        <c:manualLayout>
          <c:layoutTarget val="inner"/>
          <c:xMode val="edge"/>
          <c:yMode val="edge"/>
          <c:x val="0.16258741258741347"/>
          <c:y val="0.29387755102040947"/>
          <c:w val="0.80244755244755261"/>
          <c:h val="0.43673469387755287"/>
        </c:manualLayout>
      </c:layout>
      <c:barChart>
        <c:barDir val="col"/>
        <c:grouping val="clustered"/>
        <c:ser>
          <c:idx val="0"/>
          <c:order val="0"/>
          <c:tx>
            <c:strRef>
              <c:f>Sheet1!$A$2</c:f>
              <c:strCache>
                <c:ptCount val="1"/>
                <c:pt idx="0">
                  <c:v>2017年上半年</c:v>
                </c:pt>
              </c:strCache>
            </c:strRef>
          </c:tx>
          <c:spPr>
            <a:solidFill>
              <a:srgbClr val="008080"/>
            </a:solidFill>
            <a:ln w="12707">
              <a:solidFill>
                <a:srgbClr val="000000"/>
              </a:solidFill>
              <a:prstDash val="solid"/>
            </a:ln>
          </c:spPr>
          <c:dLbls>
            <c:spPr>
              <a:noFill/>
              <a:ln w="25414">
                <a:noFill/>
              </a:ln>
            </c:spPr>
            <c:txPr>
              <a:bodyPr/>
              <a:lstStyle/>
              <a:p>
                <a:pPr>
                  <a:defRPr sz="800" b="0" i="0" u="none" strike="noStrike" baseline="0">
                    <a:solidFill>
                      <a:srgbClr val="000000"/>
                    </a:solidFill>
                    <a:latin typeface="宋体"/>
                    <a:ea typeface="宋体"/>
                    <a:cs typeface="宋体"/>
                  </a:defRPr>
                </a:pPr>
                <a:endParaRPr lang="zh-CN"/>
              </a:p>
            </c:txPr>
            <c:showVal val="1"/>
          </c:dLbls>
          <c:cat>
            <c:strRef>
              <c:f>Sheet1!$B$1:$F$1</c:f>
              <c:strCache>
                <c:ptCount val="5"/>
                <c:pt idx="0">
                  <c:v>旧存</c:v>
                </c:pt>
                <c:pt idx="1">
                  <c:v>新收</c:v>
                </c:pt>
                <c:pt idx="2">
                  <c:v>未结</c:v>
                </c:pt>
                <c:pt idx="3">
                  <c:v>已结</c:v>
                </c:pt>
                <c:pt idx="4">
                  <c:v>受理总计</c:v>
                </c:pt>
              </c:strCache>
            </c:strRef>
          </c:cat>
          <c:val>
            <c:numRef>
              <c:f>Sheet1!$B$2:$F$2</c:f>
              <c:numCache>
                <c:formatCode>General</c:formatCode>
                <c:ptCount val="5"/>
                <c:pt idx="0">
                  <c:v>212</c:v>
                </c:pt>
                <c:pt idx="1">
                  <c:v>1234</c:v>
                </c:pt>
                <c:pt idx="2">
                  <c:v>495</c:v>
                </c:pt>
                <c:pt idx="3">
                  <c:v>951</c:v>
                </c:pt>
                <c:pt idx="4">
                  <c:v>1446</c:v>
                </c:pt>
              </c:numCache>
            </c:numRef>
          </c:val>
        </c:ser>
        <c:ser>
          <c:idx val="1"/>
          <c:order val="1"/>
          <c:tx>
            <c:strRef>
              <c:f>Sheet1!$A$3</c:f>
              <c:strCache>
                <c:ptCount val="1"/>
                <c:pt idx="0">
                  <c:v>2016年上半年</c:v>
                </c:pt>
              </c:strCache>
            </c:strRef>
          </c:tx>
          <c:spPr>
            <a:solidFill>
              <a:srgbClr val="FF8080"/>
            </a:solidFill>
            <a:ln w="12707">
              <a:solidFill>
                <a:srgbClr val="000000"/>
              </a:solidFill>
              <a:prstDash val="solid"/>
            </a:ln>
          </c:spPr>
          <c:dLbls>
            <c:spPr>
              <a:noFill/>
              <a:ln w="25414">
                <a:noFill/>
              </a:ln>
            </c:spPr>
            <c:txPr>
              <a:bodyPr/>
              <a:lstStyle/>
              <a:p>
                <a:pPr>
                  <a:defRPr sz="800" b="0" i="0" u="none" strike="noStrike" baseline="0">
                    <a:solidFill>
                      <a:srgbClr val="000000"/>
                    </a:solidFill>
                    <a:latin typeface="宋体"/>
                    <a:ea typeface="宋体"/>
                    <a:cs typeface="宋体"/>
                  </a:defRPr>
                </a:pPr>
                <a:endParaRPr lang="zh-CN"/>
              </a:p>
            </c:txPr>
            <c:showVal val="1"/>
          </c:dLbls>
          <c:cat>
            <c:strRef>
              <c:f>Sheet1!$B$1:$F$1</c:f>
              <c:strCache>
                <c:ptCount val="5"/>
                <c:pt idx="0">
                  <c:v>旧存</c:v>
                </c:pt>
                <c:pt idx="1">
                  <c:v>新收</c:v>
                </c:pt>
                <c:pt idx="2">
                  <c:v>未结</c:v>
                </c:pt>
                <c:pt idx="3">
                  <c:v>已结</c:v>
                </c:pt>
                <c:pt idx="4">
                  <c:v>受理总计</c:v>
                </c:pt>
              </c:strCache>
            </c:strRef>
          </c:cat>
          <c:val>
            <c:numRef>
              <c:f>Sheet1!$B$3:$F$3</c:f>
              <c:numCache>
                <c:formatCode>General</c:formatCode>
                <c:ptCount val="5"/>
                <c:pt idx="0">
                  <c:v>260</c:v>
                </c:pt>
                <c:pt idx="1">
                  <c:v>961</c:v>
                </c:pt>
                <c:pt idx="2">
                  <c:v>485</c:v>
                </c:pt>
                <c:pt idx="3">
                  <c:v>736</c:v>
                </c:pt>
                <c:pt idx="4">
                  <c:v>1221</c:v>
                </c:pt>
              </c:numCache>
            </c:numRef>
          </c:val>
        </c:ser>
        <c:axId val="355435648"/>
        <c:axId val="355437184"/>
      </c:barChart>
      <c:catAx>
        <c:axId val="355435648"/>
        <c:scaling>
          <c:orientation val="minMax"/>
        </c:scaling>
        <c:axPos val="b"/>
        <c:numFmt formatCode="General" sourceLinked="1"/>
        <c:majorTickMark val="in"/>
        <c:tickLblPos val="nextTo"/>
        <c:spPr>
          <a:ln w="3177">
            <a:solidFill>
              <a:srgbClr val="000000"/>
            </a:solidFill>
            <a:prstDash val="solid"/>
          </a:ln>
        </c:spPr>
        <c:txPr>
          <a:bodyPr rot="0" vert="horz"/>
          <a:lstStyle/>
          <a:p>
            <a:pPr>
              <a:defRPr sz="1201" b="0" i="0" u="none" strike="noStrike" baseline="0">
                <a:solidFill>
                  <a:srgbClr val="000000"/>
                </a:solidFill>
                <a:latin typeface="宋体"/>
                <a:ea typeface="宋体"/>
                <a:cs typeface="宋体"/>
              </a:defRPr>
            </a:pPr>
            <a:endParaRPr lang="zh-CN"/>
          </a:p>
        </c:txPr>
        <c:crossAx val="355437184"/>
        <c:crosses val="autoZero"/>
        <c:auto val="1"/>
        <c:lblAlgn val="ctr"/>
        <c:lblOffset val="100"/>
        <c:tickMarkSkip val="1"/>
      </c:catAx>
      <c:valAx>
        <c:axId val="355437184"/>
        <c:scaling>
          <c:orientation val="minMax"/>
        </c:scaling>
        <c:axPos val="l"/>
        <c:majorGridlines>
          <c:spPr>
            <a:ln w="3177">
              <a:solidFill>
                <a:srgbClr val="000000"/>
              </a:solidFill>
              <a:prstDash val="solid"/>
            </a:ln>
          </c:spPr>
        </c:majorGridlines>
        <c:numFmt formatCode="General" sourceLinked="1"/>
        <c:majorTickMark val="in"/>
        <c:tickLblPos val="nextTo"/>
        <c:spPr>
          <a:ln w="3177">
            <a:solidFill>
              <a:srgbClr val="000000"/>
            </a:solidFill>
            <a:prstDash val="solid"/>
          </a:ln>
        </c:spPr>
        <c:txPr>
          <a:bodyPr rot="0" vert="horz"/>
          <a:lstStyle/>
          <a:p>
            <a:pPr>
              <a:defRPr sz="1201" b="0" i="0" u="none" strike="noStrike" baseline="0">
                <a:solidFill>
                  <a:srgbClr val="000000"/>
                </a:solidFill>
                <a:latin typeface="宋体"/>
                <a:ea typeface="宋体"/>
                <a:cs typeface="宋体"/>
              </a:defRPr>
            </a:pPr>
            <a:endParaRPr lang="zh-CN"/>
          </a:p>
        </c:txPr>
        <c:crossAx val="355435648"/>
        <c:crosses val="autoZero"/>
        <c:crossBetween val="between"/>
      </c:valAx>
      <c:dTable>
        <c:showHorzBorder val="1"/>
        <c:showVertBorder val="1"/>
        <c:showKeys val="1"/>
        <c:spPr>
          <a:ln w="3177">
            <a:solidFill>
              <a:srgbClr val="000000"/>
            </a:solidFill>
            <a:prstDash val="solid"/>
          </a:ln>
        </c:spPr>
        <c:txPr>
          <a:bodyPr/>
          <a:lstStyle/>
          <a:p>
            <a:pPr rtl="0">
              <a:defRPr sz="901" b="0" i="0" u="none" strike="noStrike" baseline="0">
                <a:solidFill>
                  <a:srgbClr val="000000"/>
                </a:solidFill>
                <a:latin typeface="仿宋"/>
                <a:ea typeface="仿宋"/>
                <a:cs typeface="仿宋"/>
              </a:defRPr>
            </a:pPr>
            <a:endParaRPr lang="zh-CN"/>
          </a:p>
        </c:txPr>
      </c:dTable>
      <c:spPr>
        <a:solidFill>
          <a:srgbClr val="FFFFFF"/>
        </a:solidFill>
        <a:ln w="12707">
          <a:solidFill>
            <a:srgbClr val="000000"/>
          </a:solidFill>
          <a:prstDash val="solid"/>
        </a:ln>
      </c:spPr>
    </c:plotArea>
    <c:plotVisOnly val="1"/>
    <c:dispBlanksAs val="gap"/>
  </c:chart>
  <c:spPr>
    <a:noFill/>
    <a:ln>
      <a:noFill/>
    </a:ln>
  </c:spPr>
  <c:txPr>
    <a:bodyPr/>
    <a:lstStyle/>
    <a:p>
      <a:pPr>
        <a:defRPr sz="1201" b="0" i="0" u="none" strike="noStrike" baseline="0">
          <a:solidFill>
            <a:srgbClr val="000000"/>
          </a:solidFill>
          <a:latin typeface="宋体"/>
          <a:ea typeface="宋体"/>
          <a:cs typeface="宋体"/>
        </a:defRPr>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style val="10"/>
  <c:chart>
    <c:title>
      <c:tx>
        <c:rich>
          <a:bodyPr/>
          <a:lstStyle/>
          <a:p>
            <a:pPr>
              <a:defRPr sz="1400" b="1">
                <a:latin typeface="仿宋" pitchFamily="49" charset="-122"/>
                <a:ea typeface="仿宋" pitchFamily="49" charset="-122"/>
              </a:defRPr>
            </a:pPr>
            <a:r>
              <a:rPr lang="zh-CN" altLang="en-US" sz="1400">
                <a:latin typeface="仿宋" pitchFamily="49" charset="-122"/>
                <a:ea typeface="仿宋" pitchFamily="49" charset="-122"/>
              </a:rPr>
              <a:t>图表</a:t>
            </a:r>
            <a:r>
              <a:rPr lang="en-US" altLang="zh-CN" sz="1400">
                <a:latin typeface="仿宋" pitchFamily="49" charset="-122"/>
                <a:ea typeface="仿宋" pitchFamily="49" charset="-122"/>
              </a:rPr>
              <a:t>3   </a:t>
            </a:r>
            <a:r>
              <a:rPr lang="zh-CN" altLang="en-US" sz="1400">
                <a:latin typeface="仿宋" pitchFamily="49" charset="-122"/>
                <a:ea typeface="仿宋" pitchFamily="49" charset="-122"/>
              </a:rPr>
              <a:t>全院新收案件构成情况对比图</a:t>
            </a:r>
          </a:p>
        </c:rich>
      </c:tx>
    </c:title>
    <c:view3D>
      <c:rotX val="30"/>
      <c:perspective val="0"/>
    </c:view3D>
    <c:plotArea>
      <c:layout>
        <c:manualLayout>
          <c:layoutTarget val="inner"/>
          <c:xMode val="edge"/>
          <c:yMode val="edge"/>
          <c:x val="0.20925295019860354"/>
          <c:y val="0.25842144974613329"/>
          <c:w val="0.62773483610670111"/>
          <c:h val="0.59350234453521711"/>
        </c:manualLayout>
      </c:layout>
      <c:pie3DChart>
        <c:varyColors val="1"/>
        <c:ser>
          <c:idx val="0"/>
          <c:order val="0"/>
          <c:tx>
            <c:strRef>
              <c:f>Sheet1!$B$1</c:f>
              <c:strCache>
                <c:ptCount val="1"/>
                <c:pt idx="0">
                  <c:v>图表3   全院新收案件构成情况对比图</c:v>
                </c:pt>
              </c:strCache>
            </c:strRef>
          </c:tx>
          <c:explosion val="8"/>
          <c:dPt>
            <c:idx val="2"/>
            <c:explosion val="10"/>
          </c:dPt>
          <c:dLbls>
            <c:dLbl>
              <c:idx val="0"/>
              <c:layout>
                <c:manualLayout>
                  <c:x val="-5.5011402360723584E-2"/>
                  <c:y val="2.1896745099188159E-3"/>
                </c:manualLayout>
              </c:layout>
              <c:tx>
                <c:rich>
                  <a:bodyPr/>
                  <a:lstStyle/>
                  <a:p>
                    <a:r>
                      <a:rPr lang="zh-CN" altLang="en-US" sz="900">
                        <a:latin typeface="仿宋" pitchFamily="49" charset="-122"/>
                        <a:ea typeface="仿宋" pitchFamily="49" charset="-122"/>
                      </a:rPr>
                      <a:t>刑事新收</a:t>
                    </a:r>
                    <a:r>
                      <a:rPr lang="en-US" altLang="zh-CN" sz="900">
                        <a:latin typeface="仿宋" pitchFamily="49" charset="-122"/>
                        <a:ea typeface="仿宋" pitchFamily="49" charset="-122"/>
                      </a:rPr>
                      <a:t>63</a:t>
                    </a:r>
                    <a:r>
                      <a:rPr lang="zh-CN" altLang="en-US" sz="900">
                        <a:latin typeface="仿宋" pitchFamily="49" charset="-122"/>
                        <a:ea typeface="仿宋" pitchFamily="49" charset="-122"/>
                      </a:rPr>
                      <a:t>件</a:t>
                    </a:r>
                    <a:r>
                      <a:rPr lang="en-US" altLang="zh-CN" sz="900">
                        <a:latin typeface="仿宋" pitchFamily="49" charset="-122"/>
                        <a:ea typeface="仿宋" pitchFamily="49" charset="-122"/>
                      </a:rPr>
                      <a:t>, </a:t>
                    </a:r>
                    <a:r>
                      <a:rPr lang="zh-CN" altLang="en-US" sz="900">
                        <a:latin typeface="仿宋" pitchFamily="49" charset="-122"/>
                        <a:ea typeface="仿宋" pitchFamily="49" charset="-122"/>
                      </a:rPr>
                      <a:t>占比</a:t>
                    </a:r>
                    <a:r>
                      <a:rPr lang="en-US" altLang="zh-CN" sz="900">
                        <a:latin typeface="仿宋" pitchFamily="49" charset="-122"/>
                        <a:ea typeface="仿宋" pitchFamily="49" charset="-122"/>
                      </a:rPr>
                      <a:t>5.11%</a:t>
                    </a:r>
                    <a:endParaRPr lang="zh-CN" altLang="en-US" sz="900">
                      <a:latin typeface="仿宋" pitchFamily="49" charset="-122"/>
                      <a:ea typeface="仿宋" pitchFamily="49" charset="-122"/>
                    </a:endParaRPr>
                  </a:p>
                </c:rich>
              </c:tx>
              <c:dLblPos val="bestFit"/>
            </c:dLbl>
            <c:dLbl>
              <c:idx val="1"/>
              <c:layout>
                <c:manualLayout>
                  <c:x val="4.405351395177854E-2"/>
                  <c:y val="6.5598358853461713E-2"/>
                </c:manualLayout>
              </c:layout>
              <c:tx>
                <c:rich>
                  <a:bodyPr/>
                  <a:lstStyle/>
                  <a:p>
                    <a:r>
                      <a:rPr lang="zh-CN" altLang="en-US">
                        <a:latin typeface="仿宋" pitchFamily="49" charset="-122"/>
                        <a:ea typeface="仿宋" pitchFamily="49" charset="-122"/>
                      </a:rPr>
                      <a:t>刑罚变更新收</a:t>
                    </a:r>
                    <a:r>
                      <a:rPr lang="en-US" altLang="zh-CN">
                        <a:latin typeface="仿宋" pitchFamily="49" charset="-122"/>
                        <a:ea typeface="仿宋" pitchFamily="49" charset="-122"/>
                      </a:rPr>
                      <a:t>3</a:t>
                    </a:r>
                    <a:r>
                      <a:rPr lang="zh-CN" altLang="en-US">
                        <a:latin typeface="仿宋" pitchFamily="49" charset="-122"/>
                        <a:ea typeface="仿宋" pitchFamily="49" charset="-122"/>
                      </a:rPr>
                      <a:t>件</a:t>
                    </a:r>
                    <a:r>
                      <a:rPr lang="en-US" altLang="zh-CN">
                        <a:latin typeface="仿宋" pitchFamily="49" charset="-122"/>
                        <a:ea typeface="仿宋" pitchFamily="49" charset="-122"/>
                      </a:rPr>
                      <a:t>, </a:t>
                    </a:r>
                    <a:r>
                      <a:rPr lang="zh-CN" altLang="en-US">
                        <a:latin typeface="仿宋" pitchFamily="49" charset="-122"/>
                        <a:ea typeface="仿宋" pitchFamily="49" charset="-122"/>
                      </a:rPr>
                      <a:t>占比</a:t>
                    </a:r>
                    <a:r>
                      <a:rPr lang="en-US" altLang="zh-CN">
                        <a:latin typeface="仿宋" pitchFamily="49" charset="-122"/>
                        <a:ea typeface="仿宋" pitchFamily="49" charset="-122"/>
                      </a:rPr>
                      <a:t>0.24%</a:t>
                    </a:r>
                  </a:p>
                </c:rich>
              </c:tx>
              <c:dLblPos val="bestFit"/>
            </c:dLbl>
            <c:dLbl>
              <c:idx val="2"/>
              <c:layout>
                <c:manualLayout>
                  <c:x val="-0.20588308851803191"/>
                  <c:y val="-0.14534199228522382"/>
                </c:manualLayout>
              </c:layout>
              <c:tx>
                <c:rich>
                  <a:bodyPr/>
                  <a:lstStyle/>
                  <a:p>
                    <a:r>
                      <a:rPr lang="zh-CN" altLang="en-US" sz="900">
                        <a:latin typeface="仿宋" pitchFamily="49" charset="-122"/>
                        <a:ea typeface="仿宋" pitchFamily="49" charset="-122"/>
                      </a:rPr>
                      <a:t>民事新收</a:t>
                    </a:r>
                    <a:r>
                      <a:rPr lang="en-US" altLang="zh-CN" sz="900">
                        <a:latin typeface="仿宋" pitchFamily="49" charset="-122"/>
                        <a:ea typeface="仿宋" pitchFamily="49" charset="-122"/>
                      </a:rPr>
                      <a:t>735</a:t>
                    </a:r>
                    <a:r>
                      <a:rPr lang="zh-CN" altLang="en-US" sz="900">
                        <a:latin typeface="仿宋" pitchFamily="49" charset="-122"/>
                        <a:ea typeface="仿宋" pitchFamily="49" charset="-122"/>
                      </a:rPr>
                      <a:t>件</a:t>
                    </a:r>
                    <a:r>
                      <a:rPr lang="en-US" altLang="zh-CN" sz="900">
                        <a:latin typeface="仿宋" pitchFamily="49" charset="-122"/>
                        <a:ea typeface="仿宋" pitchFamily="49" charset="-122"/>
                      </a:rPr>
                      <a:t>,</a:t>
                    </a:r>
                    <a:r>
                      <a:rPr lang="zh-CN" altLang="en-US" sz="900">
                        <a:latin typeface="仿宋" pitchFamily="49" charset="-122"/>
                        <a:ea typeface="仿宋" pitchFamily="49" charset="-122"/>
                      </a:rPr>
                      <a:t>占比</a:t>
                    </a:r>
                    <a:r>
                      <a:rPr lang="en-US" altLang="zh-CN" sz="900">
                        <a:latin typeface="仿宋" pitchFamily="49" charset="-122"/>
                        <a:ea typeface="仿宋" pitchFamily="49" charset="-122"/>
                      </a:rPr>
                      <a:t> 59.56%</a:t>
                    </a:r>
                    <a:endParaRPr lang="zh-CN" altLang="en-US" sz="900">
                      <a:latin typeface="仿宋" pitchFamily="49" charset="-122"/>
                      <a:ea typeface="仿宋" pitchFamily="49" charset="-122"/>
                    </a:endParaRPr>
                  </a:p>
                </c:rich>
              </c:tx>
              <c:dLblPos val="bestFit"/>
            </c:dLbl>
            <c:dLbl>
              <c:idx val="3"/>
              <c:layout>
                <c:manualLayout>
                  <c:x val="4.7288580960071304E-2"/>
                  <c:y val="5.4663639769245327E-2"/>
                </c:manualLayout>
              </c:layout>
              <c:tx>
                <c:rich>
                  <a:bodyPr/>
                  <a:lstStyle/>
                  <a:p>
                    <a:r>
                      <a:rPr lang="zh-CN" altLang="en-US" sz="900">
                        <a:latin typeface="仿宋" pitchFamily="49" charset="-122"/>
                        <a:ea typeface="仿宋" pitchFamily="49" charset="-122"/>
                      </a:rPr>
                      <a:t>行政新收</a:t>
                    </a:r>
                    <a:r>
                      <a:rPr lang="en-US" altLang="zh-CN" sz="900">
                        <a:latin typeface="仿宋" pitchFamily="49" charset="-122"/>
                        <a:ea typeface="仿宋" pitchFamily="49" charset="-122"/>
                      </a:rPr>
                      <a:t>25</a:t>
                    </a:r>
                    <a:r>
                      <a:rPr lang="zh-CN" altLang="en-US" sz="900">
                        <a:latin typeface="仿宋" pitchFamily="49" charset="-122"/>
                        <a:ea typeface="仿宋" pitchFamily="49" charset="-122"/>
                      </a:rPr>
                      <a:t>件</a:t>
                    </a:r>
                    <a:r>
                      <a:rPr lang="en-US" altLang="zh-CN" sz="900">
                        <a:latin typeface="仿宋" pitchFamily="49" charset="-122"/>
                        <a:ea typeface="仿宋" pitchFamily="49" charset="-122"/>
                      </a:rPr>
                      <a:t>,</a:t>
                    </a:r>
                    <a:r>
                      <a:rPr lang="zh-CN" altLang="en-US" sz="900">
                        <a:latin typeface="仿宋" pitchFamily="49" charset="-122"/>
                        <a:ea typeface="仿宋" pitchFamily="49" charset="-122"/>
                      </a:rPr>
                      <a:t>占比</a:t>
                    </a:r>
                    <a:r>
                      <a:rPr lang="en-US" altLang="zh-CN" sz="900">
                        <a:latin typeface="仿宋" pitchFamily="49" charset="-122"/>
                        <a:ea typeface="仿宋" pitchFamily="49" charset="-122"/>
                      </a:rPr>
                      <a:t> 2.03%</a:t>
                    </a:r>
                    <a:endParaRPr lang="zh-CN" altLang="en-US" sz="900">
                      <a:latin typeface="仿宋" pitchFamily="49" charset="-122"/>
                      <a:ea typeface="仿宋" pitchFamily="49" charset="-122"/>
                    </a:endParaRPr>
                  </a:p>
                </c:rich>
              </c:tx>
              <c:dLblPos val="bestFit"/>
            </c:dLbl>
            <c:dLbl>
              <c:idx val="4"/>
              <c:layout>
                <c:manualLayout>
                  <c:x val="-3.1257235087972422E-2"/>
                  <c:y val="-4.9908251557135318E-2"/>
                </c:manualLayout>
              </c:layout>
              <c:tx>
                <c:rich>
                  <a:bodyPr/>
                  <a:lstStyle/>
                  <a:p>
                    <a:r>
                      <a:rPr lang="zh-CN" altLang="en-US">
                        <a:latin typeface="仿宋" pitchFamily="49" charset="-122"/>
                        <a:ea typeface="仿宋" pitchFamily="49" charset="-122"/>
                      </a:rPr>
                      <a:t>赔偿新收</a:t>
                    </a:r>
                    <a:r>
                      <a:rPr lang="en-US" altLang="zh-CN">
                        <a:latin typeface="仿宋" pitchFamily="49" charset="-122"/>
                        <a:ea typeface="仿宋" pitchFamily="49" charset="-122"/>
                      </a:rPr>
                      <a:t>3</a:t>
                    </a:r>
                    <a:r>
                      <a:rPr lang="zh-CN" altLang="en-US">
                        <a:latin typeface="仿宋" pitchFamily="49" charset="-122"/>
                        <a:ea typeface="仿宋" pitchFamily="49" charset="-122"/>
                      </a:rPr>
                      <a:t>件</a:t>
                    </a:r>
                    <a:r>
                      <a:rPr lang="en-US" altLang="zh-CN">
                        <a:latin typeface="仿宋" pitchFamily="49" charset="-122"/>
                        <a:ea typeface="仿宋" pitchFamily="49" charset="-122"/>
                      </a:rPr>
                      <a:t>, </a:t>
                    </a:r>
                    <a:r>
                      <a:rPr lang="zh-CN" altLang="en-US">
                        <a:latin typeface="仿宋" pitchFamily="49" charset="-122"/>
                        <a:ea typeface="仿宋" pitchFamily="49" charset="-122"/>
                      </a:rPr>
                      <a:t>占比</a:t>
                    </a:r>
                    <a:r>
                      <a:rPr lang="en-US" altLang="zh-CN">
                        <a:latin typeface="仿宋" pitchFamily="49" charset="-122"/>
                        <a:ea typeface="仿宋" pitchFamily="49" charset="-122"/>
                      </a:rPr>
                      <a:t>0.24%</a:t>
                    </a:r>
                    <a:endParaRPr lang="zh-CN" altLang="en-US">
                      <a:latin typeface="仿宋" pitchFamily="49" charset="-122"/>
                      <a:ea typeface="仿宋" pitchFamily="49" charset="-122"/>
                    </a:endParaRPr>
                  </a:p>
                </c:rich>
              </c:tx>
              <c:dLblPos val="bestFit"/>
            </c:dLbl>
            <c:dLbl>
              <c:idx val="5"/>
              <c:tx>
                <c:rich>
                  <a:bodyPr/>
                  <a:lstStyle/>
                  <a:p>
                    <a:r>
                      <a:rPr lang="zh-CN" altLang="en-US">
                        <a:latin typeface="仿宋" pitchFamily="49" charset="-122"/>
                        <a:ea typeface="仿宋" pitchFamily="49" charset="-122"/>
                      </a:rPr>
                      <a:t>执行新收</a:t>
                    </a:r>
                    <a:r>
                      <a:rPr lang="en-US" altLang="zh-CN">
                        <a:latin typeface="仿宋" pitchFamily="49" charset="-122"/>
                        <a:ea typeface="仿宋" pitchFamily="49" charset="-122"/>
                      </a:rPr>
                      <a:t>403</a:t>
                    </a:r>
                    <a:r>
                      <a:rPr lang="zh-CN" altLang="en-US">
                        <a:latin typeface="仿宋" pitchFamily="49" charset="-122"/>
                        <a:ea typeface="仿宋" pitchFamily="49" charset="-122"/>
                      </a:rPr>
                      <a:t>件</a:t>
                    </a:r>
                    <a:r>
                      <a:rPr lang="en-US" altLang="zh-CN">
                        <a:latin typeface="仿宋" pitchFamily="49" charset="-122"/>
                        <a:ea typeface="仿宋" pitchFamily="49" charset="-122"/>
                      </a:rPr>
                      <a:t>, </a:t>
                    </a:r>
                    <a:r>
                      <a:rPr lang="zh-CN" altLang="en-US">
                        <a:latin typeface="仿宋" pitchFamily="49" charset="-122"/>
                        <a:ea typeface="仿宋" pitchFamily="49" charset="-122"/>
                      </a:rPr>
                      <a:t>占比</a:t>
                    </a:r>
                    <a:r>
                      <a:rPr lang="en-US" altLang="zh-CN">
                        <a:latin typeface="仿宋" pitchFamily="49" charset="-122"/>
                        <a:ea typeface="仿宋" pitchFamily="49" charset="-122"/>
                      </a:rPr>
                      <a:t>32.66%</a:t>
                    </a:r>
                  </a:p>
                </c:rich>
              </c:tx>
              <c:dLblPos val="bestFit"/>
            </c:dLbl>
            <c:dLbl>
              <c:idx val="6"/>
              <c:layout>
                <c:manualLayout>
                  <c:x val="-0.10236434629560739"/>
                  <c:y val="1.9300595547093027E-2"/>
                </c:manualLayout>
              </c:layout>
              <c:tx>
                <c:rich>
                  <a:bodyPr/>
                  <a:lstStyle/>
                  <a:p>
                    <a:r>
                      <a:rPr lang="zh-CN" altLang="en-US" sz="900">
                        <a:latin typeface="仿宋" pitchFamily="49" charset="-122"/>
                        <a:ea typeface="仿宋" pitchFamily="49" charset="-122"/>
                      </a:rPr>
                      <a:t>审查监督受理</a:t>
                    </a:r>
                    <a:r>
                      <a:rPr lang="en-US" altLang="zh-CN" sz="900">
                        <a:latin typeface="仿宋" pitchFamily="49" charset="-122"/>
                        <a:ea typeface="仿宋" pitchFamily="49" charset="-122"/>
                      </a:rPr>
                      <a:t>2</a:t>
                    </a:r>
                    <a:r>
                      <a:rPr lang="zh-CN" altLang="en-US" sz="900">
                        <a:latin typeface="仿宋" pitchFamily="49" charset="-122"/>
                        <a:ea typeface="仿宋" pitchFamily="49" charset="-122"/>
                      </a:rPr>
                      <a:t>件</a:t>
                    </a:r>
                    <a:r>
                      <a:rPr lang="en-US" altLang="zh-CN" sz="900">
                        <a:latin typeface="仿宋" pitchFamily="49" charset="-122"/>
                        <a:ea typeface="仿宋" pitchFamily="49" charset="-122"/>
                      </a:rPr>
                      <a:t>, </a:t>
                    </a:r>
                    <a:r>
                      <a:rPr lang="zh-CN" altLang="en-US" sz="900">
                        <a:latin typeface="仿宋" pitchFamily="49" charset="-122"/>
                        <a:ea typeface="仿宋" pitchFamily="49" charset="-122"/>
                      </a:rPr>
                      <a:t>占比</a:t>
                    </a:r>
                    <a:r>
                      <a:rPr lang="en-US" altLang="zh-CN" sz="900">
                        <a:latin typeface="仿宋" pitchFamily="49" charset="-122"/>
                        <a:ea typeface="仿宋" pitchFamily="49" charset="-122"/>
                      </a:rPr>
                      <a:t>0.16%</a:t>
                    </a:r>
                    <a:endParaRPr lang="zh-CN" altLang="en-US" sz="900">
                      <a:latin typeface="仿宋" pitchFamily="49" charset="-122"/>
                      <a:ea typeface="仿宋" pitchFamily="49" charset="-122"/>
                    </a:endParaRPr>
                  </a:p>
                </c:rich>
              </c:tx>
              <c:dLblPos val="bestFit"/>
            </c:dLbl>
            <c:numFmt formatCode="0.00%" sourceLinked="0"/>
            <c:txPr>
              <a:bodyPr/>
              <a:lstStyle/>
              <a:p>
                <a:pPr>
                  <a:defRPr sz="900">
                    <a:latin typeface="仿宋" pitchFamily="49" charset="-122"/>
                    <a:ea typeface="仿宋" pitchFamily="49" charset="-122"/>
                  </a:defRPr>
                </a:pPr>
                <a:endParaRPr lang="zh-CN"/>
              </a:p>
            </c:txPr>
            <c:dLblPos val="bestFit"/>
            <c:showVal val="1"/>
            <c:showCatName val="1"/>
            <c:showPercent val="1"/>
            <c:showLeaderLines val="1"/>
          </c:dLbls>
          <c:cat>
            <c:strRef>
              <c:f>Sheet1!$A$2:$A$8</c:f>
              <c:strCache>
                <c:ptCount val="7"/>
                <c:pt idx="0">
                  <c:v>刑事</c:v>
                </c:pt>
                <c:pt idx="1">
                  <c:v>刑罚变更</c:v>
                </c:pt>
                <c:pt idx="2">
                  <c:v>民事</c:v>
                </c:pt>
                <c:pt idx="3">
                  <c:v>行政</c:v>
                </c:pt>
                <c:pt idx="4">
                  <c:v>赔偿</c:v>
                </c:pt>
                <c:pt idx="5">
                  <c:v>执行</c:v>
                </c:pt>
                <c:pt idx="6">
                  <c:v>审查监督</c:v>
                </c:pt>
              </c:strCache>
            </c:strRef>
          </c:cat>
          <c:val>
            <c:numRef>
              <c:f>Sheet1!$B$2:$B$8</c:f>
              <c:numCache>
                <c:formatCode>General</c:formatCode>
                <c:ptCount val="7"/>
                <c:pt idx="0">
                  <c:v>63</c:v>
                </c:pt>
                <c:pt idx="1">
                  <c:v>3</c:v>
                </c:pt>
                <c:pt idx="2">
                  <c:v>735</c:v>
                </c:pt>
                <c:pt idx="3">
                  <c:v>25</c:v>
                </c:pt>
                <c:pt idx="4">
                  <c:v>3</c:v>
                </c:pt>
                <c:pt idx="5">
                  <c:v>403</c:v>
                </c:pt>
                <c:pt idx="6">
                  <c:v>2</c:v>
                </c:pt>
              </c:numCache>
            </c:numRef>
          </c:val>
        </c:ser>
        <c:dLbls>
          <c:showCatName val="1"/>
          <c:showPercent val="1"/>
        </c:dLbls>
      </c:pie3DChart>
      <c:spPr>
        <a:noFill/>
        <a:ln w="25404">
          <a:noFill/>
        </a:ln>
      </c:spPr>
    </c:plotArea>
    <c:plotVisOnly val="1"/>
    <c:dispBlanksAs val="zero"/>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401" b="1" i="0" u="none" strike="noStrike" baseline="0">
                <a:solidFill>
                  <a:srgbClr val="000000"/>
                </a:solidFill>
                <a:latin typeface="仿宋"/>
                <a:ea typeface="仿宋"/>
                <a:cs typeface="仿宋"/>
              </a:defRPr>
            </a:pPr>
            <a:r>
              <a:rPr lang="zh-CN" altLang="en-US"/>
              <a:t>图表</a:t>
            </a:r>
            <a:r>
              <a:rPr lang="en-US" altLang="zh-CN"/>
              <a:t>4 </a:t>
            </a:r>
            <a:r>
              <a:rPr lang="zh-CN" altLang="en-US"/>
              <a:t>和龙法院新收案件分布图（同比）</a:t>
            </a:r>
          </a:p>
        </c:rich>
      </c:tx>
      <c:layout>
        <c:manualLayout>
          <c:xMode val="edge"/>
          <c:yMode val="edge"/>
          <c:x val="0.16081330868761554"/>
          <c:y val="3.7383177570093705E-2"/>
        </c:manualLayout>
      </c:layout>
      <c:spPr>
        <a:noFill/>
        <a:ln w="25425">
          <a:noFill/>
        </a:ln>
      </c:spPr>
    </c:title>
    <c:plotArea>
      <c:layout>
        <c:manualLayout>
          <c:layoutTarget val="inner"/>
          <c:xMode val="edge"/>
          <c:yMode val="edge"/>
          <c:x val="0.20702402957486141"/>
          <c:y val="0.3364485981308441"/>
          <c:w val="0.76524953789279382"/>
          <c:h val="0.40809968847352024"/>
        </c:manualLayout>
      </c:layout>
      <c:lineChart>
        <c:grouping val="standard"/>
        <c:ser>
          <c:idx val="0"/>
          <c:order val="0"/>
          <c:tx>
            <c:strRef>
              <c:f>Sheet1!$A$2</c:f>
              <c:strCache>
                <c:ptCount val="1"/>
                <c:pt idx="0">
                  <c:v>2017年上半年</c:v>
                </c:pt>
              </c:strCache>
            </c:strRef>
          </c:tx>
          <c:spPr>
            <a:ln w="12712">
              <a:solidFill>
                <a:srgbClr val="993366"/>
              </a:solidFill>
              <a:prstDash val="solid"/>
            </a:ln>
          </c:spPr>
          <c:marker>
            <c:symbol val="x"/>
            <c:size val="5"/>
            <c:spPr>
              <a:solidFill>
                <a:srgbClr val="993366"/>
              </a:solidFill>
              <a:ln>
                <a:solidFill>
                  <a:srgbClr val="993366"/>
                </a:solidFill>
                <a:prstDash val="solid"/>
              </a:ln>
            </c:spPr>
          </c:marker>
          <c:cat>
            <c:strRef>
              <c:f>Sheet1!$B$1:$K$1</c:f>
              <c:strCache>
                <c:ptCount val="10"/>
                <c:pt idx="0">
                  <c:v>立案庭</c:v>
                </c:pt>
                <c:pt idx="1">
                  <c:v>刑庭</c:v>
                </c:pt>
                <c:pt idx="2">
                  <c:v>民一庭</c:v>
                </c:pt>
                <c:pt idx="3">
                  <c:v>民二庭</c:v>
                </c:pt>
                <c:pt idx="4">
                  <c:v>头道法庭</c:v>
                </c:pt>
                <c:pt idx="5">
                  <c:v>行政庭</c:v>
                </c:pt>
                <c:pt idx="6">
                  <c:v>审监庭</c:v>
                </c:pt>
                <c:pt idx="7">
                  <c:v>执行一科</c:v>
                </c:pt>
                <c:pt idx="8">
                  <c:v>执行二科</c:v>
                </c:pt>
                <c:pt idx="9">
                  <c:v>综合科</c:v>
                </c:pt>
              </c:strCache>
            </c:strRef>
          </c:cat>
          <c:val>
            <c:numRef>
              <c:f>Sheet1!$B$2:$K$2</c:f>
              <c:numCache>
                <c:formatCode>General</c:formatCode>
                <c:ptCount val="10"/>
                <c:pt idx="0">
                  <c:v>3</c:v>
                </c:pt>
                <c:pt idx="1">
                  <c:v>66</c:v>
                </c:pt>
                <c:pt idx="2">
                  <c:v>238</c:v>
                </c:pt>
                <c:pt idx="3">
                  <c:v>324</c:v>
                </c:pt>
                <c:pt idx="4">
                  <c:v>168</c:v>
                </c:pt>
                <c:pt idx="5">
                  <c:v>28</c:v>
                </c:pt>
                <c:pt idx="6">
                  <c:v>4</c:v>
                </c:pt>
                <c:pt idx="7">
                  <c:v>208</c:v>
                </c:pt>
                <c:pt idx="8">
                  <c:v>188</c:v>
                </c:pt>
                <c:pt idx="9">
                  <c:v>7</c:v>
                </c:pt>
              </c:numCache>
            </c:numRef>
          </c:val>
        </c:ser>
        <c:ser>
          <c:idx val="1"/>
          <c:order val="1"/>
          <c:tx>
            <c:strRef>
              <c:f>Sheet1!$A$3</c:f>
              <c:strCache>
                <c:ptCount val="1"/>
                <c:pt idx="0">
                  <c:v>2016年上半年</c:v>
                </c:pt>
              </c:strCache>
            </c:strRef>
          </c:tx>
          <c:spPr>
            <a:ln w="12712">
              <a:solidFill>
                <a:srgbClr val="666699"/>
              </a:solidFill>
              <a:prstDash val="solid"/>
            </a:ln>
          </c:spPr>
          <c:marker>
            <c:symbol val="diamond"/>
            <c:size val="5"/>
            <c:spPr>
              <a:solidFill>
                <a:srgbClr val="666699"/>
              </a:solidFill>
              <a:ln>
                <a:solidFill>
                  <a:srgbClr val="666699"/>
                </a:solidFill>
                <a:prstDash val="solid"/>
              </a:ln>
            </c:spPr>
          </c:marker>
          <c:cat>
            <c:strRef>
              <c:f>Sheet1!$B$1:$K$1</c:f>
              <c:strCache>
                <c:ptCount val="10"/>
                <c:pt idx="0">
                  <c:v>立案庭</c:v>
                </c:pt>
                <c:pt idx="1">
                  <c:v>刑庭</c:v>
                </c:pt>
                <c:pt idx="2">
                  <c:v>民一庭</c:v>
                </c:pt>
                <c:pt idx="3">
                  <c:v>民二庭</c:v>
                </c:pt>
                <c:pt idx="4">
                  <c:v>头道法庭</c:v>
                </c:pt>
                <c:pt idx="5">
                  <c:v>行政庭</c:v>
                </c:pt>
                <c:pt idx="6">
                  <c:v>审监庭</c:v>
                </c:pt>
                <c:pt idx="7">
                  <c:v>执行一科</c:v>
                </c:pt>
                <c:pt idx="8">
                  <c:v>执行二科</c:v>
                </c:pt>
                <c:pt idx="9">
                  <c:v>综合科</c:v>
                </c:pt>
              </c:strCache>
            </c:strRef>
          </c:cat>
          <c:val>
            <c:numRef>
              <c:f>Sheet1!$B$3:$K$3</c:f>
              <c:numCache>
                <c:formatCode>General</c:formatCode>
                <c:ptCount val="10"/>
                <c:pt idx="0">
                  <c:v>3</c:v>
                </c:pt>
                <c:pt idx="1">
                  <c:v>80</c:v>
                </c:pt>
                <c:pt idx="2">
                  <c:v>200</c:v>
                </c:pt>
                <c:pt idx="3">
                  <c:v>199</c:v>
                </c:pt>
                <c:pt idx="4">
                  <c:v>132</c:v>
                </c:pt>
                <c:pt idx="5">
                  <c:v>21</c:v>
                </c:pt>
                <c:pt idx="6">
                  <c:v>4</c:v>
                </c:pt>
                <c:pt idx="7">
                  <c:v>144</c:v>
                </c:pt>
                <c:pt idx="8">
                  <c:v>175</c:v>
                </c:pt>
                <c:pt idx="9">
                  <c:v>3</c:v>
                </c:pt>
              </c:numCache>
            </c:numRef>
          </c:val>
        </c:ser>
        <c:marker val="1"/>
        <c:axId val="357446784"/>
        <c:axId val="357448704"/>
      </c:lineChart>
      <c:catAx>
        <c:axId val="357446784"/>
        <c:scaling>
          <c:orientation val="minMax"/>
        </c:scaling>
        <c:axPos val="b"/>
        <c:numFmt formatCode="General" sourceLinked="1"/>
        <c:majorTickMark val="in"/>
        <c:tickLblPos val="nextTo"/>
        <c:spPr>
          <a:ln w="3178">
            <a:solidFill>
              <a:srgbClr val="000000"/>
            </a:solidFill>
            <a:prstDash val="solid"/>
          </a:ln>
        </c:spPr>
        <c:txPr>
          <a:bodyPr rot="0" vert="horz"/>
          <a:lstStyle/>
          <a:p>
            <a:pPr>
              <a:defRPr sz="1577" b="0" i="0" u="none" strike="noStrike" baseline="0">
                <a:solidFill>
                  <a:srgbClr val="000000"/>
                </a:solidFill>
                <a:latin typeface="宋体"/>
                <a:ea typeface="宋体"/>
                <a:cs typeface="宋体"/>
              </a:defRPr>
            </a:pPr>
            <a:endParaRPr lang="zh-CN"/>
          </a:p>
        </c:txPr>
        <c:crossAx val="357448704"/>
        <c:crosses val="autoZero"/>
        <c:auto val="1"/>
        <c:lblAlgn val="ctr"/>
        <c:lblOffset val="100"/>
        <c:tickMarkSkip val="1"/>
      </c:catAx>
      <c:valAx>
        <c:axId val="357448704"/>
        <c:scaling>
          <c:orientation val="minMax"/>
        </c:scaling>
        <c:axPos val="l"/>
        <c:majorGridlines>
          <c:spPr>
            <a:ln w="3178">
              <a:solidFill>
                <a:srgbClr val="000000"/>
              </a:solidFill>
              <a:prstDash val="solid"/>
            </a:ln>
          </c:spPr>
        </c:majorGridlines>
        <c:minorGridlines>
          <c:spPr>
            <a:ln w="3178">
              <a:solidFill>
                <a:srgbClr val="000000"/>
              </a:solidFill>
              <a:prstDash val="solid"/>
            </a:ln>
          </c:spPr>
        </c:minorGridlines>
        <c:numFmt formatCode="General" sourceLinked="1"/>
        <c:majorTickMark val="in"/>
        <c:tickLblPos val="nextTo"/>
        <c:spPr>
          <a:ln w="3178">
            <a:solidFill>
              <a:srgbClr val="000000"/>
            </a:solidFill>
            <a:prstDash val="solid"/>
          </a:ln>
        </c:spPr>
        <c:txPr>
          <a:bodyPr rot="0" vert="horz"/>
          <a:lstStyle/>
          <a:p>
            <a:pPr>
              <a:defRPr sz="1577" b="0" i="0" u="none" strike="noStrike" baseline="0">
                <a:solidFill>
                  <a:srgbClr val="000000"/>
                </a:solidFill>
                <a:latin typeface="宋体"/>
                <a:ea typeface="宋体"/>
                <a:cs typeface="宋体"/>
              </a:defRPr>
            </a:pPr>
            <a:endParaRPr lang="zh-CN"/>
          </a:p>
        </c:txPr>
        <c:crossAx val="357446784"/>
        <c:crosses val="autoZero"/>
        <c:crossBetween val="between"/>
      </c:valAx>
      <c:dTable>
        <c:showHorzBorder val="1"/>
        <c:showVertBorder val="1"/>
        <c:showKeys val="1"/>
        <c:spPr>
          <a:ln w="3178">
            <a:solidFill>
              <a:srgbClr val="000000"/>
            </a:solidFill>
            <a:prstDash val="solid"/>
          </a:ln>
        </c:spPr>
        <c:txPr>
          <a:bodyPr/>
          <a:lstStyle/>
          <a:p>
            <a:pPr rtl="0">
              <a:defRPr sz="901" b="0" i="0" u="none" strike="noStrike" baseline="0">
                <a:solidFill>
                  <a:srgbClr val="000000"/>
                </a:solidFill>
                <a:latin typeface="仿宋"/>
                <a:ea typeface="仿宋"/>
                <a:cs typeface="仿宋"/>
              </a:defRPr>
            </a:pPr>
            <a:endParaRPr lang="zh-CN"/>
          </a:p>
        </c:txPr>
      </c:dTable>
      <c:spPr>
        <a:solidFill>
          <a:srgbClr val="FFFFFF"/>
        </a:solidFill>
        <a:ln w="12712">
          <a:solidFill>
            <a:srgbClr val="000000"/>
          </a:solidFill>
          <a:prstDash val="solid"/>
        </a:ln>
      </c:spPr>
    </c:plotArea>
    <c:legend>
      <c:legendPos val="t"/>
      <c:legendEntry>
        <c:idx val="0"/>
        <c:txPr>
          <a:bodyPr/>
          <a:lstStyle/>
          <a:p>
            <a:pPr>
              <a:defRPr sz="826" b="0" i="0" u="none" strike="noStrike" baseline="0">
                <a:solidFill>
                  <a:srgbClr val="000000"/>
                </a:solidFill>
                <a:latin typeface="宋体"/>
                <a:ea typeface="宋体"/>
                <a:cs typeface="宋体"/>
              </a:defRPr>
            </a:pPr>
            <a:endParaRPr lang="zh-CN"/>
          </a:p>
        </c:txPr>
      </c:legendEntry>
      <c:legendEntry>
        <c:idx val="1"/>
        <c:txPr>
          <a:bodyPr/>
          <a:lstStyle/>
          <a:p>
            <a:pPr>
              <a:defRPr sz="826" b="0" i="0" u="none" strike="noStrike" baseline="0">
                <a:solidFill>
                  <a:srgbClr val="000000"/>
                </a:solidFill>
                <a:latin typeface="宋体"/>
                <a:ea typeface="宋体"/>
                <a:cs typeface="宋体"/>
              </a:defRPr>
            </a:pPr>
            <a:endParaRPr lang="zh-CN"/>
          </a:p>
        </c:txPr>
      </c:legendEntry>
      <c:layout>
        <c:manualLayout>
          <c:xMode val="edge"/>
          <c:yMode val="edge"/>
          <c:x val="0.28280961182994679"/>
          <c:y val="0.15264797507788191"/>
          <c:w val="0.50092421441774493"/>
          <c:h val="6.8535825545171333E-2"/>
        </c:manualLayout>
      </c:layout>
      <c:spPr>
        <a:solidFill>
          <a:srgbClr val="FFFFFF"/>
        </a:solidFill>
        <a:ln w="3178">
          <a:solidFill>
            <a:srgbClr val="000000"/>
          </a:solidFill>
          <a:prstDash val="solid"/>
        </a:ln>
      </c:spPr>
      <c:txPr>
        <a:bodyPr/>
        <a:lstStyle/>
        <a:p>
          <a:pPr>
            <a:defRPr sz="1426" b="0" i="0" u="none" strike="noStrike" baseline="0">
              <a:solidFill>
                <a:srgbClr val="000000"/>
              </a:solidFill>
              <a:latin typeface="宋体"/>
              <a:ea typeface="宋体"/>
              <a:cs typeface="宋体"/>
            </a:defRPr>
          </a:pPr>
          <a:endParaRPr lang="zh-CN"/>
        </a:p>
      </c:txPr>
    </c:legend>
    <c:plotVisOnly val="1"/>
    <c:dispBlanksAs val="gap"/>
  </c:chart>
  <c:spPr>
    <a:noFill/>
    <a:ln>
      <a:noFill/>
    </a:ln>
  </c:spPr>
  <c:txPr>
    <a:bodyPr/>
    <a:lstStyle/>
    <a:p>
      <a:pPr>
        <a:defRPr sz="1577" b="0" i="0" u="none" strike="noStrike" baseline="0">
          <a:solidFill>
            <a:srgbClr val="000000"/>
          </a:solidFill>
          <a:latin typeface="宋体"/>
          <a:ea typeface="宋体"/>
          <a:cs typeface="宋体"/>
        </a:defRPr>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style val="10"/>
  <c:chart>
    <c:title>
      <c:tx>
        <c:rich>
          <a:bodyPr/>
          <a:lstStyle/>
          <a:p>
            <a:pPr>
              <a:defRPr sz="1401" b="1">
                <a:latin typeface="仿宋" pitchFamily="49" charset="-122"/>
                <a:ea typeface="仿宋" pitchFamily="49" charset="-122"/>
              </a:defRPr>
            </a:pPr>
            <a:r>
              <a:rPr lang="zh-CN" altLang="en-US" sz="1401">
                <a:latin typeface="仿宋" pitchFamily="49" charset="-122"/>
                <a:ea typeface="仿宋" pitchFamily="49" charset="-122"/>
              </a:rPr>
              <a:t>图表</a:t>
            </a:r>
            <a:r>
              <a:rPr lang="en-US" altLang="zh-CN" sz="1401">
                <a:latin typeface="仿宋" pitchFamily="49" charset="-122"/>
                <a:ea typeface="仿宋" pitchFamily="49" charset="-122"/>
              </a:rPr>
              <a:t>5   </a:t>
            </a:r>
            <a:r>
              <a:rPr lang="zh-CN" altLang="en-US" sz="1401">
                <a:latin typeface="仿宋" pitchFamily="49" charset="-122"/>
                <a:ea typeface="仿宋" pitchFamily="49" charset="-122"/>
              </a:rPr>
              <a:t>全院审结案件构成情况对比图</a:t>
            </a:r>
          </a:p>
        </c:rich>
      </c:tx>
    </c:title>
    <c:view3D>
      <c:rotX val="30"/>
      <c:perspective val="0"/>
    </c:view3D>
    <c:plotArea>
      <c:layout>
        <c:manualLayout>
          <c:layoutTarget val="inner"/>
          <c:xMode val="edge"/>
          <c:yMode val="edge"/>
          <c:x val="0.19523099850968703"/>
          <c:y val="0.22429906542056074"/>
          <c:w val="0.54098360655737765"/>
          <c:h val="0.53037383177570097"/>
        </c:manualLayout>
      </c:layout>
      <c:pie3DChart>
        <c:varyColors val="1"/>
        <c:ser>
          <c:idx val="0"/>
          <c:order val="0"/>
          <c:tx>
            <c:strRef>
              <c:f>Sheet1!$B$1</c:f>
              <c:strCache>
                <c:ptCount val="1"/>
                <c:pt idx="0">
                  <c:v>图表1   全院受理案件构成情况对比图</c:v>
                </c:pt>
              </c:strCache>
            </c:strRef>
          </c:tx>
          <c:explosion val="8"/>
          <c:dPt>
            <c:idx val="2"/>
            <c:explosion val="10"/>
          </c:dPt>
          <c:dLbls>
            <c:dLbl>
              <c:idx val="0"/>
              <c:layout>
                <c:manualLayout>
                  <c:x val="-5.5011402360723584E-2"/>
                  <c:y val="2.1896745099188159E-3"/>
                </c:manualLayout>
              </c:layout>
              <c:tx>
                <c:rich>
                  <a:bodyPr/>
                  <a:lstStyle/>
                  <a:p>
                    <a:r>
                      <a:rPr lang="zh-CN" altLang="en-US" sz="900">
                        <a:latin typeface="仿宋" pitchFamily="49" charset="-122"/>
                        <a:ea typeface="仿宋" pitchFamily="49" charset="-122"/>
                      </a:rPr>
                      <a:t>刑事审结</a:t>
                    </a:r>
                    <a:r>
                      <a:rPr lang="en-US" altLang="zh-CN" sz="900">
                        <a:latin typeface="仿宋" pitchFamily="49" charset="-122"/>
                        <a:ea typeface="仿宋" pitchFamily="49" charset="-122"/>
                      </a:rPr>
                      <a:t>54</a:t>
                    </a:r>
                    <a:r>
                      <a:rPr lang="zh-CN" altLang="en-US" sz="900">
                        <a:latin typeface="仿宋" pitchFamily="49" charset="-122"/>
                        <a:ea typeface="仿宋" pitchFamily="49" charset="-122"/>
                      </a:rPr>
                      <a:t>件</a:t>
                    </a:r>
                    <a:r>
                      <a:rPr lang="en-US" altLang="zh-CN" sz="900">
                        <a:latin typeface="仿宋" pitchFamily="49" charset="-122"/>
                        <a:ea typeface="仿宋" pitchFamily="49" charset="-122"/>
                      </a:rPr>
                      <a:t>, </a:t>
                    </a:r>
                    <a:r>
                      <a:rPr lang="zh-CN" altLang="en-US" sz="900">
                        <a:latin typeface="仿宋" pitchFamily="49" charset="-122"/>
                        <a:ea typeface="仿宋" pitchFamily="49" charset="-122"/>
                      </a:rPr>
                      <a:t>占比</a:t>
                    </a:r>
                    <a:r>
                      <a:rPr lang="en-US" altLang="zh-CN" sz="900">
                        <a:latin typeface="仿宋" pitchFamily="49" charset="-122"/>
                        <a:ea typeface="仿宋" pitchFamily="49" charset="-122"/>
                      </a:rPr>
                      <a:t>5.68%</a:t>
                    </a:r>
                    <a:endParaRPr lang="zh-CN" altLang="en-US" sz="900">
                      <a:latin typeface="仿宋" pitchFamily="49" charset="-122"/>
                      <a:ea typeface="仿宋" pitchFamily="49" charset="-122"/>
                    </a:endParaRPr>
                  </a:p>
                </c:rich>
              </c:tx>
              <c:dLblPos val="bestFit"/>
            </c:dLbl>
            <c:dLbl>
              <c:idx val="1"/>
              <c:layout>
                <c:manualLayout>
                  <c:x val="4.405351395177854E-2"/>
                  <c:y val="6.5598358853461713E-2"/>
                </c:manualLayout>
              </c:layout>
              <c:tx>
                <c:rich>
                  <a:bodyPr/>
                  <a:lstStyle/>
                  <a:p>
                    <a:r>
                      <a:rPr lang="zh-CN" altLang="en-US">
                        <a:latin typeface="仿宋" pitchFamily="49" charset="-122"/>
                        <a:ea typeface="仿宋" pitchFamily="49" charset="-122"/>
                      </a:rPr>
                      <a:t>刑罚变更审结</a:t>
                    </a:r>
                    <a:r>
                      <a:rPr lang="en-US" altLang="zh-CN">
                        <a:latin typeface="仿宋" pitchFamily="49" charset="-122"/>
                        <a:ea typeface="仿宋" pitchFamily="49" charset="-122"/>
                      </a:rPr>
                      <a:t>3</a:t>
                    </a:r>
                    <a:r>
                      <a:rPr lang="zh-CN" altLang="en-US">
                        <a:latin typeface="仿宋" pitchFamily="49" charset="-122"/>
                        <a:ea typeface="仿宋" pitchFamily="49" charset="-122"/>
                      </a:rPr>
                      <a:t>件</a:t>
                    </a:r>
                    <a:r>
                      <a:rPr lang="en-US" altLang="zh-CN">
                        <a:latin typeface="仿宋" pitchFamily="49" charset="-122"/>
                        <a:ea typeface="仿宋" pitchFamily="49" charset="-122"/>
                      </a:rPr>
                      <a:t>, </a:t>
                    </a:r>
                    <a:r>
                      <a:rPr lang="zh-CN" altLang="en-US">
                        <a:latin typeface="仿宋" pitchFamily="49" charset="-122"/>
                        <a:ea typeface="仿宋" pitchFamily="49" charset="-122"/>
                      </a:rPr>
                      <a:t>占比</a:t>
                    </a:r>
                    <a:r>
                      <a:rPr lang="en-US" altLang="zh-CN">
                        <a:latin typeface="仿宋" pitchFamily="49" charset="-122"/>
                        <a:ea typeface="仿宋" pitchFamily="49" charset="-122"/>
                      </a:rPr>
                      <a:t>0.32%</a:t>
                    </a:r>
                  </a:p>
                </c:rich>
              </c:tx>
              <c:dLblPos val="bestFit"/>
            </c:dLbl>
            <c:dLbl>
              <c:idx val="2"/>
              <c:layout>
                <c:manualLayout>
                  <c:x val="-0.19696903205285227"/>
                  <c:y val="-0.15535608048993946"/>
                </c:manualLayout>
              </c:layout>
              <c:tx>
                <c:rich>
                  <a:bodyPr/>
                  <a:lstStyle/>
                  <a:p>
                    <a:r>
                      <a:rPr lang="zh-CN" altLang="en-US" sz="900">
                        <a:latin typeface="仿宋" pitchFamily="49" charset="-122"/>
                        <a:ea typeface="仿宋" pitchFamily="49" charset="-122"/>
                      </a:rPr>
                      <a:t>民事审结</a:t>
                    </a:r>
                    <a:r>
                      <a:rPr lang="en-US" altLang="zh-CN" sz="900">
                        <a:latin typeface="仿宋" pitchFamily="49" charset="-122"/>
                        <a:ea typeface="仿宋" pitchFamily="49" charset="-122"/>
                      </a:rPr>
                      <a:t>620</a:t>
                    </a:r>
                    <a:r>
                      <a:rPr lang="zh-CN" altLang="en-US" sz="900">
                        <a:latin typeface="仿宋" pitchFamily="49" charset="-122"/>
                        <a:ea typeface="仿宋" pitchFamily="49" charset="-122"/>
                      </a:rPr>
                      <a:t>件</a:t>
                    </a:r>
                    <a:r>
                      <a:rPr lang="en-US" altLang="zh-CN" sz="900">
                        <a:latin typeface="仿宋" pitchFamily="49" charset="-122"/>
                        <a:ea typeface="仿宋" pitchFamily="49" charset="-122"/>
                      </a:rPr>
                      <a:t>,</a:t>
                    </a:r>
                    <a:r>
                      <a:rPr lang="zh-CN" altLang="en-US" sz="900">
                        <a:latin typeface="仿宋" pitchFamily="49" charset="-122"/>
                        <a:ea typeface="仿宋" pitchFamily="49" charset="-122"/>
                      </a:rPr>
                      <a:t>占比</a:t>
                    </a:r>
                    <a:r>
                      <a:rPr lang="en-US" altLang="zh-CN" sz="900">
                        <a:latin typeface="仿宋" pitchFamily="49" charset="-122"/>
                        <a:ea typeface="仿宋" pitchFamily="49" charset="-122"/>
                      </a:rPr>
                      <a:t> 65.19%</a:t>
                    </a:r>
                    <a:endParaRPr lang="zh-CN" altLang="en-US" sz="900">
                      <a:latin typeface="仿宋" pitchFamily="49" charset="-122"/>
                      <a:ea typeface="仿宋" pitchFamily="49" charset="-122"/>
                    </a:endParaRPr>
                  </a:p>
                </c:rich>
              </c:tx>
              <c:dLblPos val="bestFit"/>
            </c:dLbl>
            <c:dLbl>
              <c:idx val="3"/>
              <c:layout>
                <c:manualLayout>
                  <c:x val="-2.8288386633056207E-2"/>
                  <c:y val="8.3351498545277791E-2"/>
                </c:manualLayout>
              </c:layout>
              <c:tx>
                <c:rich>
                  <a:bodyPr/>
                  <a:lstStyle/>
                  <a:p>
                    <a:r>
                      <a:rPr lang="zh-CN" altLang="en-US" sz="900">
                        <a:latin typeface="仿宋" pitchFamily="49" charset="-122"/>
                        <a:ea typeface="仿宋" pitchFamily="49" charset="-122"/>
                      </a:rPr>
                      <a:t>行政审结</a:t>
                    </a:r>
                    <a:r>
                      <a:rPr lang="en-US" altLang="zh-CN" sz="900">
                        <a:latin typeface="仿宋" pitchFamily="49" charset="-122"/>
                        <a:ea typeface="仿宋" pitchFamily="49" charset="-122"/>
                      </a:rPr>
                      <a:t>22</a:t>
                    </a:r>
                    <a:r>
                      <a:rPr lang="zh-CN" altLang="en-US" sz="900">
                        <a:latin typeface="仿宋" pitchFamily="49" charset="-122"/>
                        <a:ea typeface="仿宋" pitchFamily="49" charset="-122"/>
                      </a:rPr>
                      <a:t>件</a:t>
                    </a:r>
                    <a:r>
                      <a:rPr lang="en-US" altLang="zh-CN" sz="900">
                        <a:latin typeface="仿宋" pitchFamily="49" charset="-122"/>
                        <a:ea typeface="仿宋" pitchFamily="49" charset="-122"/>
                      </a:rPr>
                      <a:t>,</a:t>
                    </a:r>
                    <a:r>
                      <a:rPr lang="zh-CN" altLang="en-US" sz="900">
                        <a:latin typeface="仿宋" pitchFamily="49" charset="-122"/>
                        <a:ea typeface="仿宋" pitchFamily="49" charset="-122"/>
                      </a:rPr>
                      <a:t>占比</a:t>
                    </a:r>
                    <a:r>
                      <a:rPr lang="en-US" altLang="zh-CN" sz="900">
                        <a:latin typeface="仿宋" pitchFamily="49" charset="-122"/>
                        <a:ea typeface="仿宋" pitchFamily="49" charset="-122"/>
                      </a:rPr>
                      <a:t> 2.31%</a:t>
                    </a:r>
                    <a:endParaRPr lang="zh-CN" altLang="en-US" sz="900">
                      <a:latin typeface="仿宋" pitchFamily="49" charset="-122"/>
                      <a:ea typeface="仿宋" pitchFamily="49" charset="-122"/>
                    </a:endParaRPr>
                  </a:p>
                </c:rich>
              </c:tx>
              <c:dLblPos val="bestFit"/>
            </c:dLbl>
            <c:dLbl>
              <c:idx val="5"/>
              <c:layout>
                <c:manualLayout>
                  <c:x val="0.16002506836615807"/>
                  <c:y val="8.7422294305799023E-2"/>
                </c:manualLayout>
              </c:layout>
              <c:tx>
                <c:rich>
                  <a:bodyPr/>
                  <a:lstStyle/>
                  <a:p>
                    <a:r>
                      <a:rPr lang="zh-CN" altLang="en-US">
                        <a:latin typeface="仿宋" pitchFamily="49" charset="-122"/>
                        <a:ea typeface="仿宋" pitchFamily="49" charset="-122"/>
                      </a:rPr>
                      <a:t>执行审结</a:t>
                    </a:r>
                    <a:r>
                      <a:rPr lang="en-US" altLang="zh-CN">
                        <a:latin typeface="仿宋" pitchFamily="49" charset="-122"/>
                        <a:ea typeface="仿宋" pitchFamily="49" charset="-122"/>
                      </a:rPr>
                      <a:t>250</a:t>
                    </a:r>
                    <a:r>
                      <a:rPr lang="zh-CN" altLang="en-US">
                        <a:latin typeface="仿宋" pitchFamily="49" charset="-122"/>
                        <a:ea typeface="仿宋" pitchFamily="49" charset="-122"/>
                      </a:rPr>
                      <a:t>件</a:t>
                    </a:r>
                    <a:r>
                      <a:rPr lang="en-US" altLang="zh-CN">
                        <a:latin typeface="仿宋" pitchFamily="49" charset="-122"/>
                        <a:ea typeface="仿宋" pitchFamily="49" charset="-122"/>
                      </a:rPr>
                      <a:t>, </a:t>
                    </a:r>
                    <a:r>
                      <a:rPr lang="zh-CN" altLang="en-US">
                        <a:latin typeface="仿宋" pitchFamily="49" charset="-122"/>
                        <a:ea typeface="仿宋" pitchFamily="49" charset="-122"/>
                      </a:rPr>
                      <a:t>占比</a:t>
                    </a:r>
                    <a:r>
                      <a:rPr lang="en-US" altLang="zh-CN">
                        <a:latin typeface="仿宋" pitchFamily="49" charset="-122"/>
                        <a:ea typeface="仿宋" pitchFamily="49" charset="-122"/>
                      </a:rPr>
                      <a:t>26.29%</a:t>
                    </a:r>
                  </a:p>
                </c:rich>
              </c:tx>
              <c:dLblPos val="bestFit"/>
            </c:dLbl>
            <c:numFmt formatCode="0.00%" sourceLinked="0"/>
            <c:txPr>
              <a:bodyPr/>
              <a:lstStyle/>
              <a:p>
                <a:pPr>
                  <a:defRPr sz="900">
                    <a:latin typeface="仿宋" pitchFamily="49" charset="-122"/>
                    <a:ea typeface="仿宋" pitchFamily="49" charset="-122"/>
                  </a:defRPr>
                </a:pPr>
                <a:endParaRPr lang="zh-CN"/>
              </a:p>
            </c:txPr>
            <c:dLblPos val="bestFit"/>
            <c:showVal val="1"/>
            <c:showCatName val="1"/>
            <c:showPercent val="1"/>
            <c:separator>
</c:separator>
            <c:showLeaderLines val="1"/>
          </c:dLbls>
          <c:cat>
            <c:strRef>
              <c:f>Sheet1!$A$2:$A$8</c:f>
              <c:strCache>
                <c:ptCount val="7"/>
                <c:pt idx="0">
                  <c:v>刑事</c:v>
                </c:pt>
                <c:pt idx="1">
                  <c:v>刑罚变更</c:v>
                </c:pt>
                <c:pt idx="2">
                  <c:v>民事</c:v>
                </c:pt>
                <c:pt idx="3">
                  <c:v>行政</c:v>
                </c:pt>
                <c:pt idx="4">
                  <c:v>赔偿</c:v>
                </c:pt>
                <c:pt idx="5">
                  <c:v>执行</c:v>
                </c:pt>
                <c:pt idx="6">
                  <c:v>审查监督</c:v>
                </c:pt>
              </c:strCache>
            </c:strRef>
          </c:cat>
          <c:val>
            <c:numRef>
              <c:f>Sheet1!$B$2:$B$8</c:f>
              <c:numCache>
                <c:formatCode>General</c:formatCode>
                <c:ptCount val="7"/>
                <c:pt idx="0">
                  <c:v>54</c:v>
                </c:pt>
                <c:pt idx="1">
                  <c:v>3</c:v>
                </c:pt>
                <c:pt idx="2">
                  <c:v>620</c:v>
                </c:pt>
                <c:pt idx="3">
                  <c:v>22</c:v>
                </c:pt>
                <c:pt idx="4">
                  <c:v>0</c:v>
                </c:pt>
                <c:pt idx="5">
                  <c:v>250</c:v>
                </c:pt>
                <c:pt idx="6">
                  <c:v>2</c:v>
                </c:pt>
              </c:numCache>
            </c:numRef>
          </c:val>
        </c:ser>
        <c:dLbls>
          <c:showCatName val="1"/>
          <c:showPercent val="1"/>
        </c:dLbls>
      </c:pie3DChart>
      <c:spPr>
        <a:noFill/>
        <a:ln w="25412">
          <a:noFill/>
        </a:ln>
      </c:spPr>
    </c:plotArea>
    <c:plotVisOnly val="1"/>
    <c:dispBlanksAs val="zero"/>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374" b="1" i="0" u="none" strike="noStrike" baseline="0">
                <a:solidFill>
                  <a:srgbClr val="000000"/>
                </a:solidFill>
                <a:latin typeface="仿宋"/>
                <a:ea typeface="仿宋"/>
                <a:cs typeface="仿宋"/>
              </a:defRPr>
            </a:pPr>
            <a:r>
              <a:rPr lang="zh-CN" altLang="en-US"/>
              <a:t>图表</a:t>
            </a:r>
            <a:r>
              <a:rPr lang="en-US" altLang="zh-CN"/>
              <a:t>6 </a:t>
            </a:r>
            <a:r>
              <a:rPr lang="zh-CN" altLang="en-US"/>
              <a:t>和龙法院审结案件分布图（同比）</a:t>
            </a:r>
          </a:p>
        </c:rich>
      </c:tx>
      <c:layout>
        <c:manualLayout>
          <c:xMode val="edge"/>
          <c:yMode val="edge"/>
          <c:x val="0.21328671328671328"/>
          <c:y val="3.7617554858934171E-2"/>
        </c:manualLayout>
      </c:layout>
      <c:spPr>
        <a:noFill/>
        <a:ln w="25379">
          <a:noFill/>
        </a:ln>
      </c:spPr>
    </c:title>
    <c:plotArea>
      <c:layout>
        <c:manualLayout>
          <c:layoutTarget val="inner"/>
          <c:xMode val="edge"/>
          <c:yMode val="edge"/>
          <c:x val="0.19580419580419633"/>
          <c:y val="0.33542319749216476"/>
          <c:w val="0.7762237762237808"/>
          <c:h val="0.40752351097178685"/>
        </c:manualLayout>
      </c:layout>
      <c:lineChart>
        <c:grouping val="standard"/>
        <c:ser>
          <c:idx val="0"/>
          <c:order val="0"/>
          <c:tx>
            <c:strRef>
              <c:f>Sheet1!$A$2</c:f>
              <c:strCache>
                <c:ptCount val="1"/>
                <c:pt idx="0">
                  <c:v>2017年上半年</c:v>
                </c:pt>
              </c:strCache>
            </c:strRef>
          </c:tx>
          <c:spPr>
            <a:ln w="12689">
              <a:solidFill>
                <a:srgbClr val="993366"/>
              </a:solidFill>
              <a:prstDash val="solid"/>
            </a:ln>
          </c:spPr>
          <c:marker>
            <c:symbol val="x"/>
            <c:size val="4"/>
            <c:spPr>
              <a:solidFill>
                <a:srgbClr val="993366"/>
              </a:solidFill>
              <a:ln>
                <a:solidFill>
                  <a:srgbClr val="993366"/>
                </a:solidFill>
                <a:prstDash val="solid"/>
              </a:ln>
            </c:spPr>
          </c:marker>
          <c:cat>
            <c:strRef>
              <c:f>Sheet1!$B$1:$K$1</c:f>
              <c:strCache>
                <c:ptCount val="10"/>
                <c:pt idx="0">
                  <c:v>立案庭</c:v>
                </c:pt>
                <c:pt idx="1">
                  <c:v>刑庭</c:v>
                </c:pt>
                <c:pt idx="2">
                  <c:v>民一庭</c:v>
                </c:pt>
                <c:pt idx="3">
                  <c:v>民二庭</c:v>
                </c:pt>
                <c:pt idx="4">
                  <c:v>头道法庭</c:v>
                </c:pt>
                <c:pt idx="5">
                  <c:v>行政庭</c:v>
                </c:pt>
                <c:pt idx="6">
                  <c:v>审监庭</c:v>
                </c:pt>
                <c:pt idx="7">
                  <c:v>执行一科</c:v>
                </c:pt>
                <c:pt idx="8">
                  <c:v>执行二科</c:v>
                </c:pt>
                <c:pt idx="9">
                  <c:v>综合科</c:v>
                </c:pt>
              </c:strCache>
            </c:strRef>
          </c:cat>
          <c:val>
            <c:numRef>
              <c:f>Sheet1!$B$2:$K$2</c:f>
              <c:numCache>
                <c:formatCode>General</c:formatCode>
                <c:ptCount val="10"/>
                <c:pt idx="0">
                  <c:v>3</c:v>
                </c:pt>
                <c:pt idx="1">
                  <c:v>57</c:v>
                </c:pt>
                <c:pt idx="2">
                  <c:v>201</c:v>
                </c:pt>
                <c:pt idx="3">
                  <c:v>297</c:v>
                </c:pt>
                <c:pt idx="4">
                  <c:v>118</c:v>
                </c:pt>
                <c:pt idx="5">
                  <c:v>22</c:v>
                </c:pt>
                <c:pt idx="6">
                  <c:v>3</c:v>
                </c:pt>
                <c:pt idx="7">
                  <c:v>109</c:v>
                </c:pt>
                <c:pt idx="8">
                  <c:v>135</c:v>
                </c:pt>
                <c:pt idx="9">
                  <c:v>6</c:v>
                </c:pt>
              </c:numCache>
            </c:numRef>
          </c:val>
        </c:ser>
        <c:ser>
          <c:idx val="1"/>
          <c:order val="1"/>
          <c:tx>
            <c:strRef>
              <c:f>Sheet1!$A$3</c:f>
              <c:strCache>
                <c:ptCount val="1"/>
                <c:pt idx="0">
                  <c:v>2016年上半年</c:v>
                </c:pt>
              </c:strCache>
            </c:strRef>
          </c:tx>
          <c:spPr>
            <a:ln w="12689">
              <a:solidFill>
                <a:srgbClr val="666699"/>
              </a:solidFill>
              <a:prstDash val="solid"/>
            </a:ln>
          </c:spPr>
          <c:marker>
            <c:symbol val="diamond"/>
            <c:size val="4"/>
            <c:spPr>
              <a:solidFill>
                <a:srgbClr val="666699"/>
              </a:solidFill>
              <a:ln>
                <a:solidFill>
                  <a:srgbClr val="666699"/>
                </a:solidFill>
                <a:prstDash val="solid"/>
              </a:ln>
            </c:spPr>
          </c:marker>
          <c:cat>
            <c:strRef>
              <c:f>Sheet1!$B$1:$K$1</c:f>
              <c:strCache>
                <c:ptCount val="10"/>
                <c:pt idx="0">
                  <c:v>立案庭</c:v>
                </c:pt>
                <c:pt idx="1">
                  <c:v>刑庭</c:v>
                </c:pt>
                <c:pt idx="2">
                  <c:v>民一庭</c:v>
                </c:pt>
                <c:pt idx="3">
                  <c:v>民二庭</c:v>
                </c:pt>
                <c:pt idx="4">
                  <c:v>头道法庭</c:v>
                </c:pt>
                <c:pt idx="5">
                  <c:v>行政庭</c:v>
                </c:pt>
                <c:pt idx="6">
                  <c:v>审监庭</c:v>
                </c:pt>
                <c:pt idx="7">
                  <c:v>执行一科</c:v>
                </c:pt>
                <c:pt idx="8">
                  <c:v>执行二科</c:v>
                </c:pt>
                <c:pt idx="9">
                  <c:v>综合科</c:v>
                </c:pt>
              </c:strCache>
            </c:strRef>
          </c:cat>
          <c:val>
            <c:numRef>
              <c:f>Sheet1!$B$3:$K$3</c:f>
              <c:numCache>
                <c:formatCode>General</c:formatCode>
                <c:ptCount val="10"/>
                <c:pt idx="0">
                  <c:v>2</c:v>
                </c:pt>
                <c:pt idx="1">
                  <c:v>72</c:v>
                </c:pt>
                <c:pt idx="2">
                  <c:v>181</c:v>
                </c:pt>
                <c:pt idx="3">
                  <c:v>186</c:v>
                </c:pt>
                <c:pt idx="4">
                  <c:v>106</c:v>
                </c:pt>
                <c:pt idx="5">
                  <c:v>13</c:v>
                </c:pt>
                <c:pt idx="6">
                  <c:v>3</c:v>
                </c:pt>
                <c:pt idx="7">
                  <c:v>98</c:v>
                </c:pt>
                <c:pt idx="8">
                  <c:v>72</c:v>
                </c:pt>
                <c:pt idx="9">
                  <c:v>3</c:v>
                </c:pt>
              </c:numCache>
            </c:numRef>
          </c:val>
        </c:ser>
        <c:marker val="1"/>
        <c:axId val="352092160"/>
        <c:axId val="352094080"/>
      </c:lineChart>
      <c:catAx>
        <c:axId val="352092160"/>
        <c:scaling>
          <c:orientation val="minMax"/>
        </c:scaling>
        <c:axPos val="b"/>
        <c:numFmt formatCode="General" sourceLinked="1"/>
        <c:majorTickMark val="in"/>
        <c:tickLblPos val="nextTo"/>
        <c:spPr>
          <a:ln w="3172">
            <a:solidFill>
              <a:srgbClr val="000000"/>
            </a:solidFill>
            <a:prstDash val="solid"/>
          </a:ln>
        </c:spPr>
        <c:txPr>
          <a:bodyPr rot="0" vert="horz"/>
          <a:lstStyle/>
          <a:p>
            <a:pPr>
              <a:defRPr sz="1574" b="0" i="0" u="none" strike="noStrike" baseline="0">
                <a:solidFill>
                  <a:srgbClr val="000000"/>
                </a:solidFill>
                <a:latin typeface="宋体"/>
                <a:ea typeface="宋体"/>
                <a:cs typeface="宋体"/>
              </a:defRPr>
            </a:pPr>
            <a:endParaRPr lang="zh-CN"/>
          </a:p>
        </c:txPr>
        <c:crossAx val="352094080"/>
        <c:crosses val="autoZero"/>
        <c:auto val="1"/>
        <c:lblAlgn val="ctr"/>
        <c:lblOffset val="100"/>
        <c:tickMarkSkip val="1"/>
      </c:catAx>
      <c:valAx>
        <c:axId val="352094080"/>
        <c:scaling>
          <c:orientation val="minMax"/>
        </c:scaling>
        <c:axPos val="l"/>
        <c:majorGridlines>
          <c:spPr>
            <a:ln w="3172">
              <a:solidFill>
                <a:srgbClr val="000000"/>
              </a:solidFill>
              <a:prstDash val="solid"/>
            </a:ln>
          </c:spPr>
        </c:majorGridlines>
        <c:minorGridlines>
          <c:spPr>
            <a:ln w="3172">
              <a:solidFill>
                <a:srgbClr val="000000"/>
              </a:solidFill>
              <a:prstDash val="solid"/>
            </a:ln>
          </c:spPr>
        </c:minorGridlines>
        <c:numFmt formatCode="General" sourceLinked="1"/>
        <c:majorTickMark val="in"/>
        <c:tickLblPos val="nextTo"/>
        <c:spPr>
          <a:ln w="3172">
            <a:solidFill>
              <a:srgbClr val="000000"/>
            </a:solidFill>
            <a:prstDash val="solid"/>
          </a:ln>
        </c:spPr>
        <c:txPr>
          <a:bodyPr rot="0" vert="horz"/>
          <a:lstStyle/>
          <a:p>
            <a:pPr>
              <a:defRPr sz="1574" b="0" i="0" u="none" strike="noStrike" baseline="0">
                <a:solidFill>
                  <a:srgbClr val="000000"/>
                </a:solidFill>
                <a:latin typeface="宋体"/>
                <a:ea typeface="宋体"/>
                <a:cs typeface="宋体"/>
              </a:defRPr>
            </a:pPr>
            <a:endParaRPr lang="zh-CN"/>
          </a:p>
        </c:txPr>
        <c:crossAx val="352092160"/>
        <c:crosses val="autoZero"/>
        <c:crossBetween val="between"/>
      </c:valAx>
      <c:dTable>
        <c:showHorzBorder val="1"/>
        <c:showVertBorder val="1"/>
        <c:showKeys val="1"/>
        <c:spPr>
          <a:ln w="3172">
            <a:solidFill>
              <a:srgbClr val="000000"/>
            </a:solidFill>
            <a:prstDash val="solid"/>
          </a:ln>
        </c:spPr>
        <c:txPr>
          <a:bodyPr/>
          <a:lstStyle/>
          <a:p>
            <a:pPr rtl="0">
              <a:defRPr sz="899" b="0" i="0" u="none" strike="noStrike" baseline="0">
                <a:solidFill>
                  <a:srgbClr val="000000"/>
                </a:solidFill>
                <a:latin typeface="仿宋"/>
                <a:ea typeface="仿宋"/>
                <a:cs typeface="仿宋"/>
              </a:defRPr>
            </a:pPr>
            <a:endParaRPr lang="zh-CN"/>
          </a:p>
        </c:txPr>
      </c:dTable>
      <c:spPr>
        <a:solidFill>
          <a:srgbClr val="FFFFFF"/>
        </a:solidFill>
        <a:ln w="12689">
          <a:solidFill>
            <a:srgbClr val="000000"/>
          </a:solidFill>
          <a:prstDash val="solid"/>
        </a:ln>
      </c:spPr>
    </c:plotArea>
    <c:legend>
      <c:legendPos val="t"/>
      <c:legendEntry>
        <c:idx val="0"/>
        <c:txPr>
          <a:bodyPr/>
          <a:lstStyle/>
          <a:p>
            <a:pPr>
              <a:defRPr sz="824" b="0" i="0" u="none" strike="noStrike" baseline="0">
                <a:solidFill>
                  <a:srgbClr val="000000"/>
                </a:solidFill>
                <a:latin typeface="宋体"/>
                <a:ea typeface="宋体"/>
                <a:cs typeface="宋体"/>
              </a:defRPr>
            </a:pPr>
            <a:endParaRPr lang="zh-CN"/>
          </a:p>
        </c:txPr>
      </c:legendEntry>
      <c:legendEntry>
        <c:idx val="1"/>
        <c:txPr>
          <a:bodyPr/>
          <a:lstStyle/>
          <a:p>
            <a:pPr>
              <a:defRPr sz="824" b="0" i="0" u="none" strike="noStrike" baseline="0">
                <a:solidFill>
                  <a:srgbClr val="000000"/>
                </a:solidFill>
                <a:latin typeface="宋体"/>
                <a:ea typeface="宋体"/>
                <a:cs typeface="宋体"/>
              </a:defRPr>
            </a:pPr>
            <a:endParaRPr lang="zh-CN"/>
          </a:p>
        </c:txPr>
      </c:legendEntry>
      <c:layout>
        <c:manualLayout>
          <c:xMode val="edge"/>
          <c:yMode val="edge"/>
          <c:x val="0.29195804195804348"/>
          <c:y val="0.15047021943573671"/>
          <c:w val="0.4737762237762238"/>
          <c:h val="6.8965517241379309E-2"/>
        </c:manualLayout>
      </c:layout>
      <c:spPr>
        <a:solidFill>
          <a:srgbClr val="FFFFFF"/>
        </a:solidFill>
        <a:ln w="3172">
          <a:solidFill>
            <a:srgbClr val="000000"/>
          </a:solidFill>
          <a:prstDash val="solid"/>
        </a:ln>
      </c:spPr>
      <c:txPr>
        <a:bodyPr/>
        <a:lstStyle/>
        <a:p>
          <a:pPr>
            <a:defRPr sz="1424" b="0" i="0" u="none" strike="noStrike" baseline="0">
              <a:solidFill>
                <a:srgbClr val="000000"/>
              </a:solidFill>
              <a:latin typeface="宋体"/>
              <a:ea typeface="宋体"/>
              <a:cs typeface="宋体"/>
            </a:defRPr>
          </a:pPr>
          <a:endParaRPr lang="zh-CN"/>
        </a:p>
      </c:txPr>
    </c:legend>
    <c:plotVisOnly val="1"/>
    <c:dispBlanksAs val="gap"/>
  </c:chart>
  <c:spPr>
    <a:noFill/>
    <a:ln>
      <a:noFill/>
    </a:ln>
  </c:spPr>
  <c:txPr>
    <a:bodyPr/>
    <a:lstStyle/>
    <a:p>
      <a:pPr>
        <a:defRPr sz="1574" b="0" i="0" u="none" strike="noStrike" baseline="0">
          <a:solidFill>
            <a:srgbClr val="000000"/>
          </a:solidFill>
          <a:latin typeface="宋体"/>
          <a:ea typeface="宋体"/>
          <a:cs typeface="宋体"/>
        </a:defRPr>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style val="10"/>
  <c:chart>
    <c:title>
      <c:tx>
        <c:rich>
          <a:bodyPr/>
          <a:lstStyle/>
          <a:p>
            <a:pPr>
              <a:defRPr sz="1399" b="1">
                <a:latin typeface="仿宋" pitchFamily="49" charset="-122"/>
                <a:ea typeface="仿宋" pitchFamily="49" charset="-122"/>
              </a:defRPr>
            </a:pPr>
            <a:r>
              <a:rPr lang="zh-CN" altLang="en-US" sz="1399">
                <a:latin typeface="仿宋" pitchFamily="49" charset="-122"/>
                <a:ea typeface="仿宋" pitchFamily="49" charset="-122"/>
              </a:rPr>
              <a:t>图表</a:t>
            </a:r>
            <a:r>
              <a:rPr lang="en-US" altLang="zh-CN" sz="1399">
                <a:latin typeface="仿宋" pitchFamily="49" charset="-122"/>
                <a:ea typeface="仿宋" pitchFamily="49" charset="-122"/>
              </a:rPr>
              <a:t>7   </a:t>
            </a:r>
            <a:r>
              <a:rPr lang="zh-CN" altLang="en-US" sz="1399">
                <a:latin typeface="仿宋" pitchFamily="49" charset="-122"/>
                <a:ea typeface="仿宋" pitchFamily="49" charset="-122"/>
              </a:rPr>
              <a:t>全院未结案件构成情况对比图</a:t>
            </a:r>
          </a:p>
        </c:rich>
      </c:tx>
    </c:title>
    <c:view3D>
      <c:rotX val="30"/>
      <c:perspective val="0"/>
    </c:view3D>
    <c:plotArea>
      <c:layout>
        <c:manualLayout>
          <c:layoutTarget val="inner"/>
          <c:xMode val="edge"/>
          <c:yMode val="edge"/>
          <c:x val="0.19422150882825037"/>
          <c:y val="0.19946091644204891"/>
          <c:w val="0.44141252006420656"/>
          <c:h val="0.46361185983827491"/>
        </c:manualLayout>
      </c:layout>
      <c:pie3DChart>
        <c:varyColors val="1"/>
        <c:ser>
          <c:idx val="0"/>
          <c:order val="0"/>
          <c:tx>
            <c:strRef>
              <c:f>Sheet1!$B$1</c:f>
              <c:strCache>
                <c:ptCount val="1"/>
                <c:pt idx="0">
                  <c:v>图表1   全院受理案件构成情况对比图</c:v>
                </c:pt>
              </c:strCache>
            </c:strRef>
          </c:tx>
          <c:explosion val="8"/>
          <c:dPt>
            <c:idx val="2"/>
            <c:explosion val="9"/>
          </c:dPt>
          <c:dLbls>
            <c:dLbl>
              <c:idx val="0"/>
              <c:layout>
                <c:manualLayout>
                  <c:x val="-5.5011402360723584E-2"/>
                  <c:y val="2.1896745099188159E-3"/>
                </c:manualLayout>
              </c:layout>
              <c:tx>
                <c:rich>
                  <a:bodyPr/>
                  <a:lstStyle/>
                  <a:p>
                    <a:r>
                      <a:rPr lang="zh-CN" altLang="en-US" sz="899">
                        <a:latin typeface="仿宋" pitchFamily="49" charset="-122"/>
                        <a:ea typeface="仿宋" pitchFamily="49" charset="-122"/>
                      </a:rPr>
                      <a:t>刑事未结</a:t>
                    </a:r>
                    <a:r>
                      <a:rPr lang="en-US" altLang="zh-CN" sz="899">
                        <a:latin typeface="仿宋" pitchFamily="49" charset="-122"/>
                        <a:ea typeface="仿宋" pitchFamily="49" charset="-122"/>
                      </a:rPr>
                      <a:t>13</a:t>
                    </a:r>
                    <a:r>
                      <a:rPr lang="zh-CN" altLang="en-US" sz="899">
                        <a:latin typeface="仿宋" pitchFamily="49" charset="-122"/>
                        <a:ea typeface="仿宋" pitchFamily="49" charset="-122"/>
                      </a:rPr>
                      <a:t>件</a:t>
                    </a:r>
                    <a:r>
                      <a:rPr lang="en-US" altLang="zh-CN" sz="899">
                        <a:latin typeface="仿宋" pitchFamily="49" charset="-122"/>
                        <a:ea typeface="仿宋" pitchFamily="49" charset="-122"/>
                      </a:rPr>
                      <a:t>, </a:t>
                    </a:r>
                    <a:r>
                      <a:rPr lang="zh-CN" altLang="en-US" sz="899">
                        <a:latin typeface="仿宋" pitchFamily="49" charset="-122"/>
                        <a:ea typeface="仿宋" pitchFamily="49" charset="-122"/>
                      </a:rPr>
                      <a:t>占比</a:t>
                    </a:r>
                    <a:r>
                      <a:rPr lang="en-US" altLang="zh-CN" sz="899">
                        <a:latin typeface="仿宋" pitchFamily="49" charset="-122"/>
                        <a:ea typeface="仿宋" pitchFamily="49" charset="-122"/>
                      </a:rPr>
                      <a:t>2.63%</a:t>
                    </a:r>
                    <a:endParaRPr lang="zh-CN" altLang="en-US" sz="900">
                      <a:latin typeface="仿宋" pitchFamily="49" charset="-122"/>
                      <a:ea typeface="仿宋" pitchFamily="49" charset="-122"/>
                    </a:endParaRPr>
                  </a:p>
                </c:rich>
              </c:tx>
              <c:dLblPos val="bestFit"/>
            </c:dLbl>
            <c:dLbl>
              <c:idx val="1"/>
              <c:delete val="1"/>
            </c:dLbl>
            <c:dLbl>
              <c:idx val="2"/>
              <c:layout>
                <c:manualLayout>
                  <c:x val="-0.20588308851803191"/>
                  <c:y val="-0.14534199228522382"/>
                </c:manualLayout>
              </c:layout>
              <c:tx>
                <c:rich>
                  <a:bodyPr/>
                  <a:lstStyle/>
                  <a:p>
                    <a:r>
                      <a:rPr lang="zh-CN" altLang="en-US" sz="899">
                        <a:latin typeface="仿宋" pitchFamily="49" charset="-122"/>
                        <a:ea typeface="仿宋" pitchFamily="49" charset="-122"/>
                      </a:rPr>
                      <a:t>民事未结</a:t>
                    </a:r>
                    <a:r>
                      <a:rPr lang="en-US" altLang="zh-CN" sz="899">
                        <a:latin typeface="仿宋" pitchFamily="49" charset="-122"/>
                        <a:ea typeface="仿宋" pitchFamily="49" charset="-122"/>
                      </a:rPr>
                      <a:t>222</a:t>
                    </a:r>
                    <a:r>
                      <a:rPr lang="zh-CN" altLang="en-US" sz="899">
                        <a:latin typeface="仿宋" pitchFamily="49" charset="-122"/>
                        <a:ea typeface="仿宋" pitchFamily="49" charset="-122"/>
                      </a:rPr>
                      <a:t>件</a:t>
                    </a:r>
                    <a:r>
                      <a:rPr lang="en-US" altLang="zh-CN" sz="899">
                        <a:latin typeface="仿宋" pitchFamily="49" charset="-122"/>
                        <a:ea typeface="仿宋" pitchFamily="49" charset="-122"/>
                      </a:rPr>
                      <a:t>,</a:t>
                    </a:r>
                    <a:r>
                      <a:rPr lang="zh-CN" altLang="en-US" sz="899">
                        <a:latin typeface="仿宋" pitchFamily="49" charset="-122"/>
                        <a:ea typeface="仿宋" pitchFamily="49" charset="-122"/>
                      </a:rPr>
                      <a:t>占比</a:t>
                    </a:r>
                    <a:r>
                      <a:rPr lang="en-US" altLang="zh-CN" sz="899">
                        <a:latin typeface="仿宋" pitchFamily="49" charset="-122"/>
                        <a:ea typeface="仿宋" pitchFamily="49" charset="-122"/>
                      </a:rPr>
                      <a:t>44.85%</a:t>
                    </a:r>
                    <a:endParaRPr lang="zh-CN" altLang="en-US" sz="900">
                      <a:latin typeface="仿宋" pitchFamily="49" charset="-122"/>
                      <a:ea typeface="仿宋" pitchFamily="49" charset="-122"/>
                    </a:endParaRPr>
                  </a:p>
                </c:rich>
              </c:tx>
              <c:dLblPos val="bestFit"/>
            </c:dLbl>
            <c:dLbl>
              <c:idx val="3"/>
              <c:layout>
                <c:manualLayout>
                  <c:x val="4.7288580960071304E-2"/>
                  <c:y val="5.4663639769245327E-2"/>
                </c:manualLayout>
              </c:layout>
              <c:tx>
                <c:rich>
                  <a:bodyPr/>
                  <a:lstStyle/>
                  <a:p>
                    <a:r>
                      <a:rPr lang="zh-CN" altLang="en-US" sz="899">
                        <a:latin typeface="仿宋" pitchFamily="49" charset="-122"/>
                        <a:ea typeface="仿宋" pitchFamily="49" charset="-122"/>
                      </a:rPr>
                      <a:t>行政未结</a:t>
                    </a:r>
                    <a:r>
                      <a:rPr lang="en-US" altLang="zh-CN" sz="899">
                        <a:latin typeface="仿宋" pitchFamily="49" charset="-122"/>
                        <a:ea typeface="仿宋" pitchFamily="49" charset="-122"/>
                      </a:rPr>
                      <a:t>5</a:t>
                    </a:r>
                    <a:r>
                      <a:rPr lang="zh-CN" altLang="en-US" sz="899">
                        <a:latin typeface="仿宋" pitchFamily="49" charset="-122"/>
                        <a:ea typeface="仿宋" pitchFamily="49" charset="-122"/>
                      </a:rPr>
                      <a:t>件</a:t>
                    </a:r>
                    <a:r>
                      <a:rPr lang="en-US" altLang="zh-CN" sz="899">
                        <a:latin typeface="仿宋" pitchFamily="49" charset="-122"/>
                        <a:ea typeface="仿宋" pitchFamily="49" charset="-122"/>
                      </a:rPr>
                      <a:t>,</a:t>
                    </a:r>
                    <a:r>
                      <a:rPr lang="zh-CN" altLang="en-US" sz="899">
                        <a:latin typeface="仿宋" pitchFamily="49" charset="-122"/>
                        <a:ea typeface="仿宋" pitchFamily="49" charset="-122"/>
                      </a:rPr>
                      <a:t>占比</a:t>
                    </a:r>
                    <a:r>
                      <a:rPr lang="en-US" altLang="zh-CN" sz="899">
                        <a:latin typeface="仿宋" pitchFamily="49" charset="-122"/>
                        <a:ea typeface="仿宋" pitchFamily="49" charset="-122"/>
                      </a:rPr>
                      <a:t> 1.01%</a:t>
                    </a:r>
                    <a:endParaRPr lang="zh-CN" altLang="en-US" sz="900">
                      <a:latin typeface="仿宋" pitchFamily="49" charset="-122"/>
                      <a:ea typeface="仿宋" pitchFamily="49" charset="-122"/>
                    </a:endParaRPr>
                  </a:p>
                </c:rich>
              </c:tx>
              <c:dLblPos val="bestFit"/>
            </c:dLbl>
            <c:dLbl>
              <c:idx val="4"/>
              <c:layout>
                <c:manualLayout>
                  <c:x val="-0.15170806139518161"/>
                  <c:y val="-2.2117516716454902E-3"/>
                </c:manualLayout>
              </c:layout>
              <c:tx>
                <c:rich>
                  <a:bodyPr/>
                  <a:lstStyle/>
                  <a:p>
                    <a:r>
                      <a:rPr lang="zh-CN" altLang="en-US">
                        <a:latin typeface="仿宋" pitchFamily="49" charset="-122"/>
                        <a:ea typeface="仿宋" pitchFamily="49" charset="-122"/>
                      </a:rPr>
                      <a:t>赔偿未结</a:t>
                    </a:r>
                    <a:r>
                      <a:rPr lang="en-US" altLang="zh-CN">
                        <a:latin typeface="仿宋" pitchFamily="49" charset="-122"/>
                        <a:ea typeface="仿宋" pitchFamily="49" charset="-122"/>
                      </a:rPr>
                      <a:t>3</a:t>
                    </a:r>
                    <a:r>
                      <a:rPr lang="zh-CN" altLang="en-US">
                        <a:latin typeface="仿宋" pitchFamily="49" charset="-122"/>
                        <a:ea typeface="仿宋" pitchFamily="49" charset="-122"/>
                      </a:rPr>
                      <a:t>件</a:t>
                    </a:r>
                    <a:r>
                      <a:rPr lang="en-US" altLang="zh-CN">
                        <a:latin typeface="仿宋" pitchFamily="49" charset="-122"/>
                        <a:ea typeface="仿宋" pitchFamily="49" charset="-122"/>
                      </a:rPr>
                      <a:t>, </a:t>
                    </a:r>
                    <a:r>
                      <a:rPr lang="zh-CN" altLang="en-US">
                        <a:latin typeface="仿宋" pitchFamily="49" charset="-122"/>
                        <a:ea typeface="仿宋" pitchFamily="49" charset="-122"/>
                      </a:rPr>
                      <a:t>占比</a:t>
                    </a:r>
                    <a:r>
                      <a:rPr lang="en-US" altLang="zh-CN" b="0">
                        <a:latin typeface="仿宋" pitchFamily="49" charset="-122"/>
                        <a:ea typeface="仿宋" pitchFamily="49" charset="-122"/>
                      </a:rPr>
                      <a:t>0.61</a:t>
                    </a:r>
                    <a:r>
                      <a:rPr lang="en-US" altLang="zh-CN">
                        <a:latin typeface="仿宋" pitchFamily="49" charset="-122"/>
                        <a:ea typeface="仿宋" pitchFamily="49" charset="-122"/>
                      </a:rPr>
                      <a:t>%</a:t>
                    </a:r>
                    <a:endParaRPr lang="zh-CN" altLang="en-US">
                      <a:latin typeface="仿宋" pitchFamily="49" charset="-122"/>
                      <a:ea typeface="仿宋" pitchFamily="49" charset="-122"/>
                    </a:endParaRPr>
                  </a:p>
                </c:rich>
              </c:tx>
              <c:dLblPos val="bestFit"/>
            </c:dLbl>
            <c:dLbl>
              <c:idx val="5"/>
              <c:tx>
                <c:rich>
                  <a:bodyPr/>
                  <a:lstStyle/>
                  <a:p>
                    <a:r>
                      <a:rPr lang="zh-CN" altLang="en-US">
                        <a:latin typeface="仿宋" pitchFamily="49" charset="-122"/>
                        <a:ea typeface="仿宋" pitchFamily="49" charset="-122"/>
                      </a:rPr>
                      <a:t>执行未结</a:t>
                    </a:r>
                    <a:r>
                      <a:rPr lang="en-US" altLang="zh-CN">
                        <a:latin typeface="仿宋" pitchFamily="49" charset="-122"/>
                        <a:ea typeface="仿宋" pitchFamily="49" charset="-122"/>
                      </a:rPr>
                      <a:t>252</a:t>
                    </a:r>
                    <a:r>
                      <a:rPr lang="zh-CN" altLang="en-US">
                        <a:latin typeface="仿宋" pitchFamily="49" charset="-122"/>
                        <a:ea typeface="仿宋" pitchFamily="49" charset="-122"/>
                      </a:rPr>
                      <a:t>件</a:t>
                    </a:r>
                    <a:r>
                      <a:rPr lang="en-US" altLang="zh-CN">
                        <a:latin typeface="仿宋" pitchFamily="49" charset="-122"/>
                        <a:ea typeface="仿宋" pitchFamily="49" charset="-122"/>
                      </a:rPr>
                      <a:t>, </a:t>
                    </a:r>
                    <a:r>
                      <a:rPr lang="zh-CN" altLang="en-US">
                        <a:latin typeface="仿宋" pitchFamily="49" charset="-122"/>
                        <a:ea typeface="仿宋" pitchFamily="49" charset="-122"/>
                      </a:rPr>
                      <a:t>占比</a:t>
                    </a:r>
                    <a:r>
                      <a:rPr lang="en-US" altLang="zh-CN">
                        <a:latin typeface="仿宋" pitchFamily="49" charset="-122"/>
                        <a:ea typeface="仿宋" pitchFamily="49" charset="-122"/>
                      </a:rPr>
                      <a:t>50.91%</a:t>
                    </a:r>
                  </a:p>
                </c:rich>
              </c:tx>
              <c:dLblPos val="bestFit"/>
            </c:dLbl>
            <c:dLbl>
              <c:idx val="6"/>
              <c:layout>
                <c:manualLayout>
                  <c:x val="-0.10236434629560739"/>
                  <c:y val="1.9300595547093027E-2"/>
                </c:manualLayout>
              </c:layout>
              <c:tx>
                <c:rich>
                  <a:bodyPr/>
                  <a:lstStyle/>
                  <a:p>
                    <a:r>
                      <a:rPr lang="zh-CN" altLang="en-US" sz="899">
                        <a:latin typeface="仿宋" pitchFamily="49" charset="-122"/>
                        <a:ea typeface="仿宋" pitchFamily="49" charset="-122"/>
                      </a:rPr>
                      <a:t>审查监督受理</a:t>
                    </a:r>
                    <a:r>
                      <a:rPr lang="en-US" altLang="zh-CN" sz="899">
                        <a:latin typeface="仿宋" pitchFamily="49" charset="-122"/>
                        <a:ea typeface="仿宋" pitchFamily="49" charset="-122"/>
                      </a:rPr>
                      <a:t>4</a:t>
                    </a:r>
                    <a:r>
                      <a:rPr lang="zh-CN" altLang="en-US" sz="899">
                        <a:latin typeface="仿宋" pitchFamily="49" charset="-122"/>
                        <a:ea typeface="仿宋" pitchFamily="49" charset="-122"/>
                      </a:rPr>
                      <a:t>件</a:t>
                    </a:r>
                    <a:r>
                      <a:rPr lang="en-US" altLang="zh-CN" sz="899">
                        <a:latin typeface="仿宋" pitchFamily="49" charset="-122"/>
                        <a:ea typeface="仿宋" pitchFamily="49" charset="-122"/>
                      </a:rPr>
                      <a:t>, </a:t>
                    </a:r>
                    <a:r>
                      <a:rPr lang="zh-CN" altLang="en-US" sz="899">
                        <a:latin typeface="仿宋" pitchFamily="49" charset="-122"/>
                        <a:ea typeface="仿宋" pitchFamily="49" charset="-122"/>
                      </a:rPr>
                      <a:t>占比</a:t>
                    </a:r>
                    <a:r>
                      <a:rPr lang="en-US" altLang="zh-CN" sz="899">
                        <a:latin typeface="仿宋" pitchFamily="49" charset="-122"/>
                        <a:ea typeface="仿宋" pitchFamily="49" charset="-122"/>
                      </a:rPr>
                      <a:t>0.20%</a:t>
                    </a:r>
                    <a:endParaRPr lang="zh-CN" altLang="en-US" sz="900">
                      <a:latin typeface="仿宋" pitchFamily="49" charset="-122"/>
                      <a:ea typeface="仿宋" pitchFamily="49" charset="-122"/>
                    </a:endParaRPr>
                  </a:p>
                </c:rich>
              </c:tx>
              <c:dLblPos val="bestFit"/>
            </c:dLbl>
            <c:numFmt formatCode="0.00%" sourceLinked="0"/>
            <c:txPr>
              <a:bodyPr/>
              <a:lstStyle/>
              <a:p>
                <a:pPr>
                  <a:defRPr sz="899">
                    <a:latin typeface="仿宋" pitchFamily="49" charset="-122"/>
                    <a:ea typeface="仿宋" pitchFamily="49" charset="-122"/>
                  </a:defRPr>
                </a:pPr>
                <a:endParaRPr lang="zh-CN"/>
              </a:p>
            </c:txPr>
            <c:dLblPos val="bestFit"/>
            <c:showVal val="1"/>
            <c:showCatName val="1"/>
            <c:showPercent val="1"/>
            <c:showLeaderLines val="1"/>
          </c:dLbls>
          <c:cat>
            <c:strRef>
              <c:f>Sheet1!$A$2:$A$7</c:f>
              <c:strCache>
                <c:ptCount val="6"/>
                <c:pt idx="0">
                  <c:v>刑事</c:v>
                </c:pt>
                <c:pt idx="1">
                  <c:v>刑罚变更</c:v>
                </c:pt>
                <c:pt idx="2">
                  <c:v>民事</c:v>
                </c:pt>
                <c:pt idx="3">
                  <c:v>行政</c:v>
                </c:pt>
                <c:pt idx="4">
                  <c:v>赔偿</c:v>
                </c:pt>
                <c:pt idx="5">
                  <c:v>执行</c:v>
                </c:pt>
              </c:strCache>
            </c:strRef>
          </c:cat>
          <c:val>
            <c:numRef>
              <c:f>Sheet1!$B$2:$B$7</c:f>
              <c:numCache>
                <c:formatCode>General</c:formatCode>
                <c:ptCount val="6"/>
                <c:pt idx="0">
                  <c:v>13</c:v>
                </c:pt>
                <c:pt idx="1">
                  <c:v>0</c:v>
                </c:pt>
                <c:pt idx="2">
                  <c:v>222</c:v>
                </c:pt>
                <c:pt idx="3">
                  <c:v>5</c:v>
                </c:pt>
                <c:pt idx="4">
                  <c:v>3</c:v>
                </c:pt>
                <c:pt idx="5">
                  <c:v>252</c:v>
                </c:pt>
              </c:numCache>
            </c:numRef>
          </c:val>
        </c:ser>
        <c:dLbls>
          <c:showCatName val="1"/>
          <c:showPercent val="1"/>
        </c:dLbls>
      </c:pie3DChart>
      <c:spPr>
        <a:noFill/>
        <a:ln w="25382">
          <a:noFill/>
        </a:ln>
      </c:spPr>
    </c:plotArea>
    <c:plotVisOnly val="1"/>
    <c:dispBlanksAs val="zero"/>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374" b="1" i="0" u="none" strike="noStrike" baseline="0">
                <a:solidFill>
                  <a:srgbClr val="000000"/>
                </a:solidFill>
                <a:latin typeface="仿宋"/>
                <a:ea typeface="仿宋"/>
                <a:cs typeface="仿宋"/>
              </a:defRPr>
            </a:pPr>
            <a:r>
              <a:rPr lang="zh-CN" altLang="en-US"/>
              <a:t>图表</a:t>
            </a:r>
            <a:r>
              <a:rPr lang="en-US" altLang="zh-CN"/>
              <a:t>8 </a:t>
            </a:r>
            <a:r>
              <a:rPr lang="zh-CN" altLang="en-US"/>
              <a:t>和龙法院未结案件分布图（同比）</a:t>
            </a:r>
          </a:p>
        </c:rich>
      </c:tx>
      <c:layout>
        <c:manualLayout>
          <c:xMode val="edge"/>
          <c:yMode val="edge"/>
          <c:x val="0.20593368237347354"/>
          <c:y val="3.6900369003690051E-2"/>
        </c:manualLayout>
      </c:layout>
      <c:spPr>
        <a:noFill/>
        <a:ln w="25375">
          <a:noFill/>
        </a:ln>
      </c:spPr>
    </c:title>
    <c:plotArea>
      <c:layout>
        <c:manualLayout>
          <c:layoutTarget val="inner"/>
          <c:xMode val="edge"/>
          <c:yMode val="edge"/>
          <c:x val="0.19371727748691159"/>
          <c:y val="0.35793357933579445"/>
          <c:w val="0.77835951134380821"/>
          <c:h val="0.35424354243542333"/>
        </c:manualLayout>
      </c:layout>
      <c:lineChart>
        <c:grouping val="standard"/>
        <c:ser>
          <c:idx val="0"/>
          <c:order val="0"/>
          <c:tx>
            <c:strRef>
              <c:f>Sheet1!$A$2</c:f>
              <c:strCache>
                <c:ptCount val="1"/>
                <c:pt idx="0">
                  <c:v>2017年上半年</c:v>
                </c:pt>
              </c:strCache>
            </c:strRef>
          </c:tx>
          <c:spPr>
            <a:ln w="12688">
              <a:solidFill>
                <a:srgbClr val="993366"/>
              </a:solidFill>
              <a:prstDash val="solid"/>
            </a:ln>
          </c:spPr>
          <c:marker>
            <c:symbol val="x"/>
            <c:size val="4"/>
            <c:spPr>
              <a:solidFill>
                <a:srgbClr val="993366"/>
              </a:solidFill>
              <a:ln>
                <a:solidFill>
                  <a:srgbClr val="993366"/>
                </a:solidFill>
                <a:prstDash val="solid"/>
              </a:ln>
            </c:spPr>
          </c:marker>
          <c:cat>
            <c:strRef>
              <c:f>Sheet1!$B$1:$K$1</c:f>
              <c:strCache>
                <c:ptCount val="10"/>
                <c:pt idx="0">
                  <c:v>立案庭</c:v>
                </c:pt>
                <c:pt idx="1">
                  <c:v>刑庭</c:v>
                </c:pt>
                <c:pt idx="2">
                  <c:v>民一庭</c:v>
                </c:pt>
                <c:pt idx="3">
                  <c:v>民二庭</c:v>
                </c:pt>
                <c:pt idx="4">
                  <c:v>头道法庭</c:v>
                </c:pt>
                <c:pt idx="5">
                  <c:v>行政庭</c:v>
                </c:pt>
                <c:pt idx="6">
                  <c:v>审监庭</c:v>
                </c:pt>
                <c:pt idx="7">
                  <c:v>执行一科</c:v>
                </c:pt>
                <c:pt idx="8">
                  <c:v>执行二科</c:v>
                </c:pt>
                <c:pt idx="9">
                  <c:v>综合科</c:v>
                </c:pt>
              </c:strCache>
            </c:strRef>
          </c:cat>
          <c:val>
            <c:numRef>
              <c:f>Sheet1!$B$2:$K$2</c:f>
              <c:numCache>
                <c:formatCode>General</c:formatCode>
                <c:ptCount val="10"/>
                <c:pt idx="0">
                  <c:v>0</c:v>
                </c:pt>
                <c:pt idx="1">
                  <c:v>13</c:v>
                </c:pt>
                <c:pt idx="2">
                  <c:v>91</c:v>
                </c:pt>
                <c:pt idx="3">
                  <c:v>67</c:v>
                </c:pt>
                <c:pt idx="4">
                  <c:v>59</c:v>
                </c:pt>
                <c:pt idx="5">
                  <c:v>9</c:v>
                </c:pt>
                <c:pt idx="6">
                  <c:v>4</c:v>
                </c:pt>
                <c:pt idx="7">
                  <c:v>135</c:v>
                </c:pt>
                <c:pt idx="8">
                  <c:v>116</c:v>
                </c:pt>
                <c:pt idx="9">
                  <c:v>1</c:v>
                </c:pt>
              </c:numCache>
            </c:numRef>
          </c:val>
        </c:ser>
        <c:ser>
          <c:idx val="1"/>
          <c:order val="1"/>
          <c:tx>
            <c:strRef>
              <c:f>Sheet1!$A$3</c:f>
              <c:strCache>
                <c:ptCount val="1"/>
                <c:pt idx="0">
                  <c:v>2016年上半年</c:v>
                </c:pt>
              </c:strCache>
            </c:strRef>
          </c:tx>
          <c:spPr>
            <a:ln w="12688">
              <a:solidFill>
                <a:srgbClr val="666699"/>
              </a:solidFill>
              <a:prstDash val="solid"/>
            </a:ln>
          </c:spPr>
          <c:marker>
            <c:symbol val="diamond"/>
            <c:size val="4"/>
            <c:spPr>
              <a:solidFill>
                <a:srgbClr val="666699"/>
              </a:solidFill>
              <a:ln>
                <a:solidFill>
                  <a:srgbClr val="666699"/>
                </a:solidFill>
                <a:prstDash val="solid"/>
              </a:ln>
            </c:spPr>
          </c:marker>
          <c:cat>
            <c:strRef>
              <c:f>Sheet1!$B$1:$K$1</c:f>
              <c:strCache>
                <c:ptCount val="10"/>
                <c:pt idx="0">
                  <c:v>立案庭</c:v>
                </c:pt>
                <c:pt idx="1">
                  <c:v>刑庭</c:v>
                </c:pt>
                <c:pt idx="2">
                  <c:v>民一庭</c:v>
                </c:pt>
                <c:pt idx="3">
                  <c:v>民二庭</c:v>
                </c:pt>
                <c:pt idx="4">
                  <c:v>头道法庭</c:v>
                </c:pt>
                <c:pt idx="5">
                  <c:v>行政庭</c:v>
                </c:pt>
                <c:pt idx="6">
                  <c:v>审监庭</c:v>
                </c:pt>
                <c:pt idx="7">
                  <c:v>执行一科</c:v>
                </c:pt>
                <c:pt idx="8">
                  <c:v>执行二科</c:v>
                </c:pt>
                <c:pt idx="9">
                  <c:v>综合科</c:v>
                </c:pt>
              </c:strCache>
            </c:strRef>
          </c:cat>
          <c:val>
            <c:numRef>
              <c:f>Sheet1!$B$3:$K$3</c:f>
              <c:numCache>
                <c:formatCode>General</c:formatCode>
                <c:ptCount val="10"/>
                <c:pt idx="0">
                  <c:v>1</c:v>
                </c:pt>
                <c:pt idx="1">
                  <c:v>20</c:v>
                </c:pt>
                <c:pt idx="2">
                  <c:v>83</c:v>
                </c:pt>
                <c:pt idx="3">
                  <c:v>68</c:v>
                </c:pt>
                <c:pt idx="4">
                  <c:v>43</c:v>
                </c:pt>
                <c:pt idx="5">
                  <c:v>14</c:v>
                </c:pt>
                <c:pt idx="6">
                  <c:v>3</c:v>
                </c:pt>
                <c:pt idx="7">
                  <c:v>78</c:v>
                </c:pt>
                <c:pt idx="8">
                  <c:v>175</c:v>
                </c:pt>
                <c:pt idx="9">
                  <c:v>0</c:v>
                </c:pt>
              </c:numCache>
            </c:numRef>
          </c:val>
        </c:ser>
        <c:marker val="1"/>
        <c:axId val="352151808"/>
        <c:axId val="352153984"/>
      </c:lineChart>
      <c:catAx>
        <c:axId val="352151808"/>
        <c:scaling>
          <c:orientation val="minMax"/>
        </c:scaling>
        <c:axPos val="b"/>
        <c:numFmt formatCode="General" sourceLinked="1"/>
        <c:majorTickMark val="in"/>
        <c:tickLblPos val="nextTo"/>
        <c:spPr>
          <a:ln w="3172">
            <a:solidFill>
              <a:srgbClr val="000000"/>
            </a:solidFill>
            <a:prstDash val="solid"/>
          </a:ln>
        </c:spPr>
        <c:txPr>
          <a:bodyPr rot="0" vert="horz"/>
          <a:lstStyle/>
          <a:p>
            <a:pPr>
              <a:defRPr sz="1199" b="0" i="0" u="none" strike="noStrike" baseline="0">
                <a:solidFill>
                  <a:srgbClr val="000000"/>
                </a:solidFill>
                <a:latin typeface="宋体"/>
                <a:ea typeface="宋体"/>
                <a:cs typeface="宋体"/>
              </a:defRPr>
            </a:pPr>
            <a:endParaRPr lang="zh-CN"/>
          </a:p>
        </c:txPr>
        <c:crossAx val="352153984"/>
        <c:crosses val="autoZero"/>
        <c:auto val="1"/>
        <c:lblAlgn val="ctr"/>
        <c:lblOffset val="100"/>
        <c:tickMarkSkip val="1"/>
      </c:catAx>
      <c:valAx>
        <c:axId val="352153984"/>
        <c:scaling>
          <c:orientation val="minMax"/>
        </c:scaling>
        <c:axPos val="l"/>
        <c:majorGridlines>
          <c:spPr>
            <a:ln w="3172">
              <a:solidFill>
                <a:srgbClr val="000000"/>
              </a:solidFill>
              <a:prstDash val="solid"/>
            </a:ln>
          </c:spPr>
        </c:majorGridlines>
        <c:minorGridlines>
          <c:spPr>
            <a:ln w="3172">
              <a:solidFill>
                <a:srgbClr val="000000"/>
              </a:solidFill>
              <a:prstDash val="solid"/>
            </a:ln>
          </c:spPr>
        </c:minorGridlines>
        <c:numFmt formatCode="General" sourceLinked="1"/>
        <c:majorTickMark val="in"/>
        <c:tickLblPos val="nextTo"/>
        <c:spPr>
          <a:ln w="3172">
            <a:solidFill>
              <a:srgbClr val="000000"/>
            </a:solidFill>
            <a:prstDash val="solid"/>
          </a:ln>
        </c:spPr>
        <c:txPr>
          <a:bodyPr rot="0" vert="horz"/>
          <a:lstStyle/>
          <a:p>
            <a:pPr>
              <a:defRPr sz="1199" b="0" i="0" u="none" strike="noStrike" baseline="0">
                <a:solidFill>
                  <a:srgbClr val="000000"/>
                </a:solidFill>
                <a:latin typeface="宋体"/>
                <a:ea typeface="宋体"/>
                <a:cs typeface="宋体"/>
              </a:defRPr>
            </a:pPr>
            <a:endParaRPr lang="zh-CN"/>
          </a:p>
        </c:txPr>
        <c:crossAx val="352151808"/>
        <c:crosses val="autoZero"/>
        <c:crossBetween val="between"/>
      </c:valAx>
      <c:dTable>
        <c:showHorzBorder val="1"/>
        <c:showVertBorder val="1"/>
        <c:showKeys val="1"/>
        <c:spPr>
          <a:ln w="3172">
            <a:solidFill>
              <a:srgbClr val="000000"/>
            </a:solidFill>
            <a:prstDash val="solid"/>
          </a:ln>
        </c:spPr>
        <c:txPr>
          <a:bodyPr/>
          <a:lstStyle/>
          <a:p>
            <a:pPr rtl="0">
              <a:defRPr sz="824" b="0" i="0" u="none" strike="noStrike" baseline="0">
                <a:solidFill>
                  <a:srgbClr val="000000"/>
                </a:solidFill>
                <a:latin typeface="仿宋"/>
                <a:ea typeface="仿宋"/>
                <a:cs typeface="仿宋"/>
              </a:defRPr>
            </a:pPr>
            <a:endParaRPr lang="zh-CN"/>
          </a:p>
        </c:txPr>
      </c:dTable>
      <c:spPr>
        <a:solidFill>
          <a:srgbClr val="FFFFFF"/>
        </a:solidFill>
        <a:ln w="12688">
          <a:solidFill>
            <a:srgbClr val="000000"/>
          </a:solidFill>
          <a:prstDash val="solid"/>
        </a:ln>
      </c:spPr>
    </c:plotArea>
    <c:legend>
      <c:legendPos val="t"/>
      <c:legendEntry>
        <c:idx val="0"/>
        <c:txPr>
          <a:bodyPr/>
          <a:lstStyle/>
          <a:p>
            <a:pPr>
              <a:defRPr sz="824" b="0" i="0" u="none" strike="noStrike" baseline="0">
                <a:solidFill>
                  <a:srgbClr val="000000"/>
                </a:solidFill>
                <a:latin typeface="宋体"/>
                <a:ea typeface="宋体"/>
                <a:cs typeface="宋体"/>
              </a:defRPr>
            </a:pPr>
            <a:endParaRPr lang="zh-CN"/>
          </a:p>
        </c:txPr>
      </c:legendEntry>
      <c:legendEntry>
        <c:idx val="1"/>
        <c:txPr>
          <a:bodyPr/>
          <a:lstStyle/>
          <a:p>
            <a:pPr>
              <a:defRPr sz="824" b="0" i="0" u="none" strike="noStrike" baseline="0">
                <a:solidFill>
                  <a:srgbClr val="000000"/>
                </a:solidFill>
                <a:latin typeface="宋体"/>
                <a:ea typeface="宋体"/>
                <a:cs typeface="宋体"/>
              </a:defRPr>
            </a:pPr>
            <a:endParaRPr lang="zh-CN"/>
          </a:p>
        </c:txPr>
      </c:legendEntry>
      <c:layout>
        <c:manualLayout>
          <c:xMode val="edge"/>
          <c:yMode val="edge"/>
          <c:x val="0.28970331588132625"/>
          <c:y val="0.16974169741697478"/>
          <c:w val="0.47294938917975743"/>
          <c:h val="8.1180811808117509E-2"/>
        </c:manualLayout>
      </c:layout>
      <c:spPr>
        <a:solidFill>
          <a:srgbClr val="FFFFFF"/>
        </a:solidFill>
        <a:ln w="3172">
          <a:solidFill>
            <a:srgbClr val="000000"/>
          </a:solidFill>
          <a:prstDash val="solid"/>
        </a:ln>
      </c:spPr>
      <c:txPr>
        <a:bodyPr/>
        <a:lstStyle/>
        <a:p>
          <a:pPr>
            <a:defRPr sz="1424" b="0" i="0" u="none" strike="noStrike" baseline="0">
              <a:solidFill>
                <a:srgbClr val="000000"/>
              </a:solidFill>
              <a:latin typeface="宋体"/>
              <a:ea typeface="宋体"/>
              <a:cs typeface="宋体"/>
            </a:defRPr>
          </a:pPr>
          <a:endParaRPr lang="zh-CN"/>
        </a:p>
      </c:txPr>
    </c:legend>
    <c:plotVisOnly val="1"/>
    <c:dispBlanksAs val="gap"/>
  </c:chart>
  <c:spPr>
    <a:noFill/>
    <a:ln>
      <a:noFill/>
    </a:ln>
  </c:spPr>
  <c:txPr>
    <a:bodyPr/>
    <a:lstStyle/>
    <a:p>
      <a:pPr>
        <a:defRPr sz="1199" b="0" i="0" u="none" strike="noStrike" baseline="0">
          <a:solidFill>
            <a:srgbClr val="000000"/>
          </a:solidFill>
          <a:latin typeface="宋体"/>
          <a:ea typeface="宋体"/>
          <a:cs typeface="宋体"/>
        </a:defRPr>
      </a:pPr>
      <a:endParaRPr lang="zh-CN"/>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375" b="1" i="0" u="none" strike="noStrike" baseline="0">
                <a:solidFill>
                  <a:srgbClr val="000000"/>
                </a:solidFill>
                <a:latin typeface="仿宋"/>
                <a:ea typeface="仿宋"/>
                <a:cs typeface="仿宋"/>
              </a:defRPr>
            </a:pPr>
            <a:r>
              <a:rPr lang="zh-CN" altLang="en-US"/>
              <a:t>图表</a:t>
            </a:r>
            <a:r>
              <a:rPr lang="en-US" altLang="zh-CN"/>
              <a:t>9 </a:t>
            </a:r>
            <a:r>
              <a:rPr lang="zh-CN" altLang="en-US"/>
              <a:t>立案日期在</a:t>
            </a:r>
            <a:r>
              <a:rPr lang="en-US" altLang="zh-CN"/>
              <a:t>2016</a:t>
            </a:r>
            <a:r>
              <a:rPr lang="zh-CN" altLang="en-US"/>
              <a:t>年</a:t>
            </a:r>
            <a:r>
              <a:rPr lang="en-US" altLang="zh-CN"/>
              <a:t>6</a:t>
            </a:r>
            <a:r>
              <a:rPr lang="zh-CN" altLang="en-US"/>
              <a:t>月</a:t>
            </a:r>
            <a:r>
              <a:rPr lang="en-US" altLang="zh-CN"/>
              <a:t>30</a:t>
            </a:r>
            <a:r>
              <a:rPr lang="zh-CN" altLang="en-US"/>
              <a:t>日之前未结案件分布</a:t>
            </a:r>
          </a:p>
        </c:rich>
      </c:tx>
      <c:layout>
        <c:manualLayout>
          <c:xMode val="edge"/>
          <c:yMode val="edge"/>
          <c:x val="0.14659685863874342"/>
          <c:y val="3.7313432835820892E-2"/>
        </c:manualLayout>
      </c:layout>
      <c:spPr>
        <a:noFill/>
        <a:ln w="25405">
          <a:noFill/>
        </a:ln>
      </c:spPr>
    </c:title>
    <c:plotArea>
      <c:layout>
        <c:manualLayout>
          <c:layoutTarget val="inner"/>
          <c:xMode val="edge"/>
          <c:yMode val="edge"/>
          <c:x val="0.18324607329843001"/>
          <c:y val="0.35447761194030003"/>
          <c:w val="0.78883071553228623"/>
          <c:h val="0.46641791044776132"/>
        </c:manualLayout>
      </c:layout>
      <c:barChart>
        <c:barDir val="col"/>
        <c:grouping val="clustered"/>
        <c:ser>
          <c:idx val="0"/>
          <c:order val="0"/>
          <c:tx>
            <c:strRef>
              <c:f>Sheet1!$A$2</c:f>
              <c:strCache>
                <c:ptCount val="1"/>
                <c:pt idx="0">
                  <c:v>超一年未结案件</c:v>
                </c:pt>
              </c:strCache>
            </c:strRef>
          </c:tx>
          <c:spPr>
            <a:solidFill>
              <a:srgbClr val="008080"/>
            </a:solidFill>
            <a:ln w="12703">
              <a:solidFill>
                <a:srgbClr val="000000"/>
              </a:solidFill>
              <a:prstDash val="solid"/>
            </a:ln>
          </c:spPr>
          <c:cat>
            <c:strRef>
              <c:f>Sheet1!$B$1:$K$1</c:f>
              <c:strCache>
                <c:ptCount val="10"/>
                <c:pt idx="0">
                  <c:v>立案庭</c:v>
                </c:pt>
                <c:pt idx="1">
                  <c:v>刑庭</c:v>
                </c:pt>
                <c:pt idx="2">
                  <c:v>民一庭</c:v>
                </c:pt>
                <c:pt idx="3">
                  <c:v>民二庭</c:v>
                </c:pt>
                <c:pt idx="4">
                  <c:v>头道法庭</c:v>
                </c:pt>
                <c:pt idx="5">
                  <c:v>行政庭</c:v>
                </c:pt>
                <c:pt idx="6">
                  <c:v>审监庭</c:v>
                </c:pt>
                <c:pt idx="7">
                  <c:v>执行一科</c:v>
                </c:pt>
                <c:pt idx="8">
                  <c:v>执行二科</c:v>
                </c:pt>
                <c:pt idx="9">
                  <c:v>综合科</c:v>
                </c:pt>
              </c:strCache>
            </c:strRef>
          </c:cat>
          <c:val>
            <c:numRef>
              <c:f>Sheet1!$B$2:$K$2</c:f>
              <c:numCache>
                <c:formatCode>General</c:formatCode>
                <c:ptCount val="10"/>
                <c:pt idx="0">
                  <c:v>0</c:v>
                </c:pt>
                <c:pt idx="1">
                  <c:v>0</c:v>
                </c:pt>
                <c:pt idx="2">
                  <c:v>2</c:v>
                </c:pt>
                <c:pt idx="3">
                  <c:v>0</c:v>
                </c:pt>
                <c:pt idx="4">
                  <c:v>0</c:v>
                </c:pt>
                <c:pt idx="5">
                  <c:v>2</c:v>
                </c:pt>
                <c:pt idx="6">
                  <c:v>0</c:v>
                </c:pt>
                <c:pt idx="7">
                  <c:v>0</c:v>
                </c:pt>
                <c:pt idx="8">
                  <c:v>0</c:v>
                </c:pt>
                <c:pt idx="9">
                  <c:v>0</c:v>
                </c:pt>
              </c:numCache>
            </c:numRef>
          </c:val>
        </c:ser>
        <c:axId val="352164096"/>
        <c:axId val="352468992"/>
      </c:barChart>
      <c:catAx>
        <c:axId val="352164096"/>
        <c:scaling>
          <c:orientation val="minMax"/>
        </c:scaling>
        <c:axPos val="b"/>
        <c:numFmt formatCode="General" sourceLinked="1"/>
        <c:majorTickMark val="in"/>
        <c:tickLblPos val="nextTo"/>
        <c:spPr>
          <a:ln w="3176">
            <a:solidFill>
              <a:srgbClr val="000000"/>
            </a:solidFill>
            <a:prstDash val="solid"/>
          </a:ln>
        </c:spPr>
        <c:txPr>
          <a:bodyPr rot="0" vert="horz"/>
          <a:lstStyle/>
          <a:p>
            <a:pPr>
              <a:defRPr sz="1200" b="0" i="0" u="none" strike="noStrike" baseline="0">
                <a:solidFill>
                  <a:srgbClr val="000000"/>
                </a:solidFill>
                <a:latin typeface="宋体"/>
                <a:ea typeface="宋体"/>
                <a:cs typeface="宋体"/>
              </a:defRPr>
            </a:pPr>
            <a:endParaRPr lang="zh-CN"/>
          </a:p>
        </c:txPr>
        <c:crossAx val="352468992"/>
        <c:crosses val="autoZero"/>
        <c:auto val="1"/>
        <c:lblAlgn val="ctr"/>
        <c:lblOffset val="100"/>
        <c:tickMarkSkip val="1"/>
      </c:catAx>
      <c:valAx>
        <c:axId val="352468992"/>
        <c:scaling>
          <c:orientation val="minMax"/>
        </c:scaling>
        <c:axPos val="l"/>
        <c:majorGridlines>
          <c:spPr>
            <a:ln w="3176">
              <a:solidFill>
                <a:srgbClr val="000000"/>
              </a:solidFill>
              <a:prstDash val="solid"/>
            </a:ln>
          </c:spPr>
        </c:majorGridlines>
        <c:minorGridlines>
          <c:spPr>
            <a:ln w="3176">
              <a:solidFill>
                <a:srgbClr val="000000"/>
              </a:solidFill>
              <a:prstDash val="solid"/>
            </a:ln>
          </c:spPr>
        </c:minorGridlines>
        <c:numFmt formatCode="General" sourceLinked="1"/>
        <c:majorTickMark val="in"/>
        <c:tickLblPos val="nextTo"/>
        <c:spPr>
          <a:ln w="3176">
            <a:solidFill>
              <a:srgbClr val="000000"/>
            </a:solidFill>
            <a:prstDash val="solid"/>
          </a:ln>
        </c:spPr>
        <c:txPr>
          <a:bodyPr rot="0" vert="horz"/>
          <a:lstStyle/>
          <a:p>
            <a:pPr>
              <a:defRPr sz="1200" b="0" i="0" u="none" strike="noStrike" baseline="0">
                <a:solidFill>
                  <a:srgbClr val="000000"/>
                </a:solidFill>
                <a:latin typeface="宋体"/>
                <a:ea typeface="宋体"/>
                <a:cs typeface="宋体"/>
              </a:defRPr>
            </a:pPr>
            <a:endParaRPr lang="zh-CN"/>
          </a:p>
        </c:txPr>
        <c:crossAx val="352164096"/>
        <c:crosses val="autoZero"/>
        <c:crossBetween val="between"/>
      </c:valAx>
      <c:dTable>
        <c:showHorzBorder val="1"/>
        <c:showVertBorder val="1"/>
        <c:showKeys val="1"/>
        <c:spPr>
          <a:ln w="3176">
            <a:solidFill>
              <a:srgbClr val="000000"/>
            </a:solidFill>
            <a:prstDash val="solid"/>
          </a:ln>
        </c:spPr>
        <c:txPr>
          <a:bodyPr/>
          <a:lstStyle/>
          <a:p>
            <a:pPr rtl="0">
              <a:defRPr sz="900" b="0" i="0" u="none" strike="noStrike" baseline="0">
                <a:solidFill>
                  <a:srgbClr val="000000"/>
                </a:solidFill>
                <a:latin typeface="仿宋"/>
                <a:ea typeface="仿宋"/>
                <a:cs typeface="仿宋"/>
              </a:defRPr>
            </a:pPr>
            <a:endParaRPr lang="zh-CN"/>
          </a:p>
        </c:txPr>
      </c:dTable>
      <c:spPr>
        <a:solidFill>
          <a:srgbClr val="FFFFFF"/>
        </a:solidFill>
        <a:ln w="12703">
          <a:solidFill>
            <a:srgbClr val="000000"/>
          </a:solidFill>
          <a:prstDash val="solid"/>
        </a:ln>
      </c:spPr>
    </c:plotArea>
    <c:plotVisOnly val="1"/>
    <c:dispBlanksAs val="gap"/>
  </c:chart>
  <c:spPr>
    <a:noFill/>
    <a:ln>
      <a:noFill/>
    </a:ln>
  </c:spPr>
  <c:txPr>
    <a:bodyPr/>
    <a:lstStyle/>
    <a:p>
      <a:pPr>
        <a:defRPr sz="1200" b="0" i="0" u="none" strike="noStrike" baseline="0">
          <a:solidFill>
            <a:srgbClr val="000000"/>
          </a:solidFill>
          <a:latin typeface="宋体"/>
          <a:ea typeface="宋体"/>
          <a:cs typeface="宋体"/>
        </a:defRPr>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D9556-DE18-497B-895D-85850DC4F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712</Words>
  <Characters>4065</Characters>
  <Application>Microsoft Office Word</Application>
  <DocSecurity>0</DocSecurity>
  <PresentationFormat/>
  <Lines>33</Lines>
  <Paragraphs>9</Paragraphs>
  <Slides>0</Slides>
  <Notes>0</Notes>
  <HiddenSlides>0</HiddenSlides>
  <MMClips>0</MMClips>
  <ScaleCrop>false</ScaleCrop>
  <Company>china</Company>
  <LinksUpToDate>false</LinksUpToDate>
  <CharactersWithSpaces>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吉林省高级人民法院</dc:title>
  <dc:creator>think</dc:creator>
  <cp:lastModifiedBy>user</cp:lastModifiedBy>
  <cp:revision>8</cp:revision>
  <cp:lastPrinted>2017-07-20T01:33:00Z</cp:lastPrinted>
  <dcterms:created xsi:type="dcterms:W3CDTF">2017-07-24T06:53:00Z</dcterms:created>
  <dcterms:modified xsi:type="dcterms:W3CDTF">2017-09-28T01:47:00Z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2052-9.1.0.4716</vt:lpwstr>
  </property>
</Properties>
</file>